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304EF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304EF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04EF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04EF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04EF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04EF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04EF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8B2341F" w:rsidR="006D398C" w:rsidRPr="00304EF9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04EF9">
        <w:rPr>
          <w:rFonts w:ascii="Arial" w:hAnsi="Arial" w:cs="Arial"/>
          <w:sz w:val="20"/>
          <w:szCs w:val="20"/>
          <w:lang w:val="pt-PT"/>
        </w:rPr>
        <w:t xml:space="preserve">   </w:t>
      </w:r>
      <w:r w:rsidR="000B3F1C" w:rsidRPr="00304EF9">
        <w:rPr>
          <w:rFonts w:ascii="Arial" w:hAnsi="Arial" w:cs="Arial"/>
          <w:sz w:val="20"/>
          <w:szCs w:val="20"/>
          <w:lang w:val="pt-PT"/>
        </w:rPr>
        <w:t>Valladolid, 1</w:t>
      </w:r>
      <w:r w:rsidR="005D0EBE">
        <w:rPr>
          <w:rFonts w:ascii="Arial" w:hAnsi="Arial" w:cs="Arial"/>
          <w:sz w:val="20"/>
          <w:szCs w:val="20"/>
          <w:lang w:val="pt-PT"/>
        </w:rPr>
        <w:t>3</w:t>
      </w:r>
      <w:r w:rsidR="000B3F1C" w:rsidRPr="00304EF9">
        <w:rPr>
          <w:rFonts w:ascii="Arial" w:hAnsi="Arial" w:cs="Arial"/>
          <w:sz w:val="20"/>
          <w:szCs w:val="20"/>
          <w:lang w:val="pt-PT"/>
        </w:rPr>
        <w:t xml:space="preserve"> de </w:t>
      </w:r>
      <w:r w:rsidR="00304EF9">
        <w:rPr>
          <w:rFonts w:ascii="Arial" w:hAnsi="Arial" w:cs="Arial"/>
          <w:sz w:val="20"/>
          <w:szCs w:val="20"/>
          <w:lang w:val="pt-PT"/>
        </w:rPr>
        <w:t xml:space="preserve">fevereiro </w:t>
      </w:r>
      <w:r w:rsidR="000B3F1C" w:rsidRPr="00304EF9">
        <w:rPr>
          <w:rFonts w:ascii="Arial" w:hAnsi="Arial" w:cs="Arial"/>
          <w:sz w:val="20"/>
          <w:szCs w:val="20"/>
          <w:lang w:val="pt-PT"/>
        </w:rPr>
        <w:t>de 2024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sdt>
          <w:sdtPr>
            <w:rPr>
              <w:rFonts w:ascii="Helvetica" w:hAnsi="Helvetica" w:cs="Helvetica"/>
              <w:vanish/>
              <w:sz w:val="22"/>
              <w:szCs w:val="22"/>
              <w:lang w:val="pt-PT"/>
            </w:rPr>
            <w:id w:val="-1056926528"/>
            <w:docPartObj>
              <w:docPartGallery w:val="Cover Pages"/>
              <w:docPartUnique/>
            </w:docPartObj>
          </w:sdtPr>
          <w:sdtEndPr>
            <w:rPr>
              <w:vanish w:val="0"/>
            </w:rPr>
          </w:sdtEndPr>
          <w:sdtContent>
            <w:sdt>
              <w:sdtPr>
                <w:rPr>
                  <w:rFonts w:ascii="Helvetica" w:hAnsi="Helvetica" w:cs="Helvetica"/>
                  <w:sz w:val="22"/>
                  <w:szCs w:val="22"/>
                  <w:lang w:val="pt-PT"/>
                </w:rPr>
                <w:id w:val="-1725902301"/>
                <w:docPartObj>
                  <w:docPartGallery w:val="Cover Pages"/>
                  <w:docPartUnique/>
                </w:docPartObj>
              </w:sdtPr>
              <w:sdtContent>
                <w:p w14:paraId="0E5DE145" w14:textId="77777777" w:rsidR="00537F00" w:rsidRPr="00304EF9" w:rsidRDefault="00537F00" w:rsidP="00537F00">
                  <w:pPr>
                    <w:ind w:right="-22"/>
                    <w:jc w:val="both"/>
                    <w:rPr>
                      <w:rFonts w:ascii="Helvetica" w:hAnsi="Helvetica" w:cs="Helvetica"/>
                      <w:sz w:val="28"/>
                      <w:szCs w:val="28"/>
                      <w:highlight w:val="yellow"/>
                      <w:lang w:val="pt-PT"/>
                    </w:rPr>
                  </w:pPr>
                </w:p>
                <w:p w14:paraId="08614704" w14:textId="77777777" w:rsidR="000B3F1C" w:rsidRPr="00304EF9" w:rsidRDefault="000B3F1C" w:rsidP="00537F00">
                  <w:pPr>
                    <w:spacing w:after="60" w:line="276" w:lineRule="auto"/>
                    <w:ind w:left="-426" w:right="-22"/>
                    <w:contextualSpacing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pt-PT"/>
                    </w:rPr>
                  </w:pPr>
                </w:p>
                <w:p w14:paraId="5ACC7076" w14:textId="28090BA9" w:rsidR="00537F00" w:rsidRPr="00304EF9" w:rsidRDefault="00537F00" w:rsidP="00537F00">
                  <w:pPr>
                    <w:spacing w:after="60" w:line="276" w:lineRule="auto"/>
                    <w:ind w:left="-426" w:right="-22"/>
                    <w:contextualSpacing/>
                    <w:jc w:val="center"/>
                    <w:rPr>
                      <w:sz w:val="20"/>
                      <w:szCs w:val="20"/>
                      <w:lang w:val="pt-PT"/>
                    </w:rPr>
                  </w:pPr>
                  <w:r w:rsidRPr="00304EF9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pt-PT"/>
                    </w:rPr>
                    <w:t xml:space="preserve">Michelin </w:t>
                  </w:r>
                  <w:r w:rsidR="00304EF9" w:rsidRPr="00304EF9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pt-PT"/>
                    </w:rPr>
                    <w:t>melhorou</w:t>
                  </w:r>
                  <w:r w:rsidR="00304EF9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pt-PT"/>
                    </w:rPr>
                    <w:t xml:space="preserve">, em 2023, o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resultado operacional dos sectores 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para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3600 mil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hõe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s de euros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, e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ge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rou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u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sólido </w:t>
                  </w:r>
                  <w:r w:rsidRPr="00304EF9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  <w:t xml:space="preserve">free cash </w:t>
                  </w:r>
                  <w:proofErr w:type="spellStart"/>
                  <w:r w:rsidRPr="00304EF9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  <w:t>flow</w:t>
                  </w:r>
                  <w:proofErr w:type="spellEnd"/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 de 3000 mil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hões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de euros, refle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tindo a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 solidez da estrat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é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gia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d</w:t>
                  </w:r>
                  <w:r w:rsidR="00304EF9"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 xml:space="preserve">o </w:t>
                  </w:r>
                  <w:r w:rsidRPr="00304EF9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Grupo</w:t>
                  </w:r>
                </w:p>
                <w:p w14:paraId="70033D59" w14:textId="77777777" w:rsidR="00537F00" w:rsidRPr="00304EF9" w:rsidRDefault="00537F00" w:rsidP="00537F00">
                  <w:pPr>
                    <w:ind w:left="-426" w:right="-22"/>
                    <w:jc w:val="center"/>
                    <w:rPr>
                      <w:rFonts w:ascii="Verdana" w:eastAsia="Times New Roman" w:hAnsi="Verdana" w:cs="Arial"/>
                      <w:bCs/>
                      <w:sz w:val="18"/>
                      <w:szCs w:val="18"/>
                      <w:lang w:val="pt-PT"/>
                    </w:rPr>
                  </w:pPr>
                </w:p>
                <w:p w14:paraId="47558168" w14:textId="01A55620" w:rsidR="00537F00" w:rsidRPr="00304EF9" w:rsidRDefault="00304EF9" w:rsidP="00537F00">
                  <w:pPr>
                    <w:ind w:left="-426" w:right="-22"/>
                    <w:jc w:val="both"/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A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Michelin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registou um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resultado operacional dos sectores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recorde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2023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, não obstante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as condi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ções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adversas d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mercado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e as taxas de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c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â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mbio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desfavoráveis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, demo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n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strando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,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u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ma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vez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mais,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a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qu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alidad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d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u modelo de neg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ó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cio, a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mesmo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tempo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que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me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lhorou o compromisso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das pe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soas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, e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aceler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ou o seu quadro de referência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. Este desempe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nh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ilustra a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estratégia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Grupo para capturar todo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valor d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as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su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 solu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çõ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es diferenciadoras,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concebidas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para satisfa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z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er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o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s requisitos cada vez </w:t>
                  </w:r>
                  <w:r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mais </w:t>
                  </w:r>
                  <w:r w:rsidR="00537F00"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exigentes dos clientes.</w:t>
                  </w:r>
                </w:p>
                <w:p w14:paraId="36525936" w14:textId="77777777" w:rsidR="00537F00" w:rsidRPr="00304EF9" w:rsidRDefault="00537F00" w:rsidP="00537F00">
                  <w:pPr>
                    <w:ind w:left="-426" w:right="-22"/>
                    <w:jc w:val="both"/>
                    <w:rPr>
                      <w:rFonts w:ascii="Verdana" w:hAnsi="Verdana"/>
                      <w:b/>
                      <w:sz w:val="12"/>
                      <w:szCs w:val="12"/>
                      <w:lang w:val="pt-PT"/>
                    </w:rPr>
                  </w:pPr>
                </w:p>
                <w:p w14:paraId="10352BB6" w14:textId="49FF3AEF" w:rsidR="00537F00" w:rsidRPr="00304EF9" w:rsidRDefault="00537F00" w:rsidP="00537F00">
                  <w:pPr>
                    <w:ind w:left="-426" w:right="-22"/>
                    <w:jc w:val="both"/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Ven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as total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izam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28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300 mil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hões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de euros,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um, aumento de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2,0% a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taxas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de c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â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mbio constantes, co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 um </w:t>
                  </w:r>
                  <w:proofErr w:type="spellStart"/>
                  <w:r w:rsidRPr="00304EF9">
                    <w:rPr>
                      <w:rFonts w:ascii="Verdana" w:hAnsi="Verdana"/>
                      <w:b/>
                      <w:i/>
                      <w:iCs/>
                      <w:sz w:val="18"/>
                      <w:szCs w:val="28"/>
                      <w:lang w:val="pt-PT"/>
                    </w:rPr>
                    <w:t>mix</w:t>
                  </w:r>
                  <w:proofErr w:type="spellEnd"/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pre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ç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os que compensa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as condi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ções desfavoráveis do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mercado.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V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en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da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s de produtos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e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 servi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ç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os 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que não os pneus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cre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s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cer</w:t>
                  </w:r>
                  <w:r w:rsid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am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10%</w:t>
                  </w:r>
                </w:p>
                <w:p w14:paraId="62DA9658" w14:textId="6BCBA2A7" w:rsidR="00537F00" w:rsidRPr="00304EF9" w:rsidRDefault="00304EF9" w:rsidP="00537F00">
                  <w:pPr>
                    <w:pStyle w:val="Prrafodelista"/>
                    <w:numPr>
                      <w:ilvl w:val="0"/>
                      <w:numId w:val="4"/>
                    </w:numPr>
                    <w:ind w:left="-142" w:right="-22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ercados de ven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de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neu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s,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nível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mundial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mant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iveram-se estáveis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co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um </w:t>
                  </w:r>
                  <w:proofErr w:type="spellStart"/>
                  <w:r w:rsidR="00537F00" w:rsidRPr="00304EF9">
                    <w:rPr>
                      <w:rFonts w:ascii="Verdana" w:hAnsi="Verdana"/>
                      <w:i/>
                      <w:iCs/>
                      <w:sz w:val="18"/>
                      <w:szCs w:val="28"/>
                      <w:lang w:val="pt-PT"/>
                    </w:rPr>
                    <w:t>mix</w:t>
                  </w:r>
                  <w:proofErr w:type="spellEnd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adverso, co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os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prime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ros equip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ament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os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cre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rem n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maioria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dos segmentos,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ao passo que o segmento dos pneus de substituição foi penalizado por uma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redu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ção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ma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siva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as existências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(que a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ora se considera completada)</w:t>
                  </w:r>
                </w:p>
                <w:p w14:paraId="76C694C4" w14:textId="7E2BCAFD" w:rsidR="00537F00" w:rsidRPr="00304EF9" w:rsidRDefault="00DF6872" w:rsidP="00537F00">
                  <w:pPr>
                    <w:pStyle w:val="Prrafodelista"/>
                    <w:numPr>
                      <w:ilvl w:val="0"/>
                      <w:numId w:val="4"/>
                    </w:numPr>
                    <w:ind w:left="-142" w:right="-22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V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ol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u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mes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de ven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as de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neu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caíram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4,7%, o que refle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te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estratégia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o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Grupo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de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dar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priori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dade ao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mercados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segmentos que aprecia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prop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sta de valor única</w:t>
                  </w:r>
                </w:p>
                <w:p w14:paraId="3B462B80" w14:textId="3A33AEF4" w:rsidR="00537F00" w:rsidRPr="00304EF9" w:rsidRDefault="00DF6872" w:rsidP="00537F00">
                  <w:pPr>
                    <w:pStyle w:val="Prrafodelista"/>
                    <w:numPr>
                      <w:ilvl w:val="0"/>
                      <w:numId w:val="4"/>
                    </w:numPr>
                    <w:ind w:left="-142" w:right="-22" w:hanging="284"/>
                    <w:jc w:val="both"/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fe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i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tos d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o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s pre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ç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os 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</w:t>
                  </w:r>
                  <w:proofErr w:type="spellStart"/>
                  <w:r w:rsidR="00537F00" w:rsidRPr="00304EF9">
                    <w:rPr>
                      <w:rFonts w:ascii="Verdana" w:hAnsi="Verdana"/>
                      <w:bCs/>
                      <w:i/>
                      <w:iCs/>
                      <w:sz w:val="18"/>
                      <w:szCs w:val="28"/>
                      <w:lang w:val="pt-PT"/>
                    </w:rPr>
                    <w:t>mix</w:t>
                  </w:r>
                  <w:proofErr w:type="spellEnd"/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aumentar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am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5,7%, 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dos quais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1,2% d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 </w:t>
                  </w:r>
                  <w:proofErr w:type="spellStart"/>
                  <w:r w:rsidR="00537F00" w:rsidRPr="00304EF9">
                    <w:rPr>
                      <w:rFonts w:ascii="Verdana" w:hAnsi="Verdana"/>
                      <w:bCs/>
                      <w:i/>
                      <w:iCs/>
                      <w:sz w:val="18"/>
                      <w:szCs w:val="28"/>
                      <w:lang w:val="pt-PT"/>
                    </w:rPr>
                    <w:t>mix</w:t>
                  </w:r>
                  <w:proofErr w:type="spellEnd"/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f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oram potenciados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tanto p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elos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produtos como p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elas geografias</w:t>
                  </w:r>
                </w:p>
                <w:p w14:paraId="0DFF9090" w14:textId="3711D6F1" w:rsidR="00537F00" w:rsidRPr="00304EF9" w:rsidRDefault="00DF6872" w:rsidP="00537F00">
                  <w:pPr>
                    <w:pStyle w:val="Prrafodelista"/>
                    <w:numPr>
                      <w:ilvl w:val="0"/>
                      <w:numId w:val="4"/>
                    </w:numPr>
                    <w:ind w:left="-142" w:right="-22" w:hanging="284"/>
                    <w:jc w:val="both"/>
                    <w:rPr>
                      <w:rFonts w:ascii="Verdana" w:hAnsi="Verdana"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V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en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as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que não os p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neu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aumentar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10%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u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146 mil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hõ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es de euros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num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perímetro de consolida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ção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constante.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ntegra</w:t>
                  </w:r>
                  <w:r w:rsidR="003F1863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ção do </w:t>
                  </w:r>
                  <w:proofErr w:type="spellStart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Flex</w:t>
                  </w:r>
                  <w:proofErr w:type="spellEnd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proofErr w:type="spellStart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Composite</w:t>
                  </w:r>
                  <w:proofErr w:type="spellEnd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proofErr w:type="spellStart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Group</w:t>
                  </w:r>
                  <w:proofErr w:type="spellEnd"/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está no bom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camin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</w:t>
                  </w:r>
                </w:p>
                <w:p w14:paraId="2059AD98" w14:textId="4482193B" w:rsidR="00537F00" w:rsidRPr="00304EF9" w:rsidRDefault="00537F00" w:rsidP="00537F00">
                  <w:pPr>
                    <w:pStyle w:val="Prrafodelista"/>
                    <w:numPr>
                      <w:ilvl w:val="0"/>
                      <w:numId w:val="4"/>
                    </w:numPr>
                    <w:ind w:left="-142" w:right="-22" w:hanging="284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  <w:lang w:val="pt-PT"/>
                    </w:rPr>
                  </w:pP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Efe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i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to negativo d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a taxa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de </w:t>
                  </w:r>
                  <w:r w:rsidR="003F186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câ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mbio de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2,9%, 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uma vez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que a 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maioria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das divisas 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caíram face </w:t>
                  </w:r>
                  <w:proofErr w:type="gramStart"/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ai</w:t>
                  </w:r>
                  <w:proofErr w:type="gramEnd"/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euro</w:t>
                  </w:r>
                </w:p>
                <w:p w14:paraId="2B656C6C" w14:textId="77777777" w:rsidR="00537F00" w:rsidRPr="00304EF9" w:rsidRDefault="00537F00" w:rsidP="00537F00">
                  <w:pPr>
                    <w:ind w:left="-426" w:right="-22"/>
                    <w:jc w:val="both"/>
                    <w:rPr>
                      <w:rFonts w:ascii="Verdana" w:eastAsia="Times New Roman" w:hAnsi="Verdana" w:cs="Arial"/>
                      <w:bCs/>
                      <w:sz w:val="18"/>
                      <w:szCs w:val="18"/>
                      <w:lang w:val="pt-PT"/>
                    </w:rPr>
                  </w:pPr>
                </w:p>
                <w:p w14:paraId="6CFD3AA8" w14:textId="30A8778D" w:rsidR="00537F00" w:rsidRPr="00304EF9" w:rsidRDefault="00537F00" w:rsidP="00537F00">
                  <w:pPr>
                    <w:tabs>
                      <w:tab w:val="num" w:pos="-284"/>
                    </w:tabs>
                    <w:ind w:left="-425" w:right="-23"/>
                    <w:jc w:val="both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Resultado operacional dos sectores alcan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çou um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máximo histórico de 3600 mil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hões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de euros; 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m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arge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aument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ou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0,7 p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o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ntos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, para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12,6% das ven</w:t>
                  </w:r>
                  <w:r w:rsidR="00DF6872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d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as</w:t>
                  </w:r>
                </w:p>
                <w:p w14:paraId="49C02D8D" w14:textId="35FDE003" w:rsidR="00537F00" w:rsidRPr="00304EF9" w:rsidRDefault="00DF6872" w:rsidP="00537F00">
                  <w:pPr>
                    <w:pStyle w:val="Prrafodelista"/>
                    <w:numPr>
                      <w:ilvl w:val="0"/>
                      <w:numId w:val="5"/>
                    </w:numPr>
                    <w:ind w:left="-142" w:right="-23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fe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to dos pre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ç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os afetado p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elo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impacto retardado dos ajustes de 2022</w:t>
                  </w:r>
                </w:p>
                <w:p w14:paraId="6CA05110" w14:textId="0F4C204C" w:rsidR="00537F00" w:rsidRPr="00304EF9" w:rsidRDefault="00537F00" w:rsidP="00537F00">
                  <w:pPr>
                    <w:pStyle w:val="Prrafodelista"/>
                    <w:numPr>
                      <w:ilvl w:val="0"/>
                      <w:numId w:val="5"/>
                    </w:numPr>
                    <w:ind w:left="-142" w:right="-23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Efe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to su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b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stancial d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o </w:t>
                  </w:r>
                  <w:proofErr w:type="spellStart"/>
                  <w:r w:rsidRPr="00304EF9">
                    <w:rPr>
                      <w:rFonts w:ascii="Verdana" w:hAnsi="Verdana"/>
                      <w:i/>
                      <w:iCs/>
                      <w:sz w:val="18"/>
                      <w:szCs w:val="28"/>
                      <w:lang w:val="pt-PT"/>
                    </w:rPr>
                    <w:t>mix</w:t>
                  </w:r>
                  <w:proofErr w:type="spellEnd"/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resultante da orienta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ção para 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mercado </w:t>
                  </w:r>
                  <w:r w:rsidR="00DF6872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 para os segmentos,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combinado co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m a melhorada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prop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o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sta de valor 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Grupo</w:t>
                  </w:r>
                </w:p>
                <w:p w14:paraId="5D52C0A8" w14:textId="285D160A" w:rsidR="00537F00" w:rsidRPr="00304EF9" w:rsidRDefault="00537F00" w:rsidP="00537F00">
                  <w:pPr>
                    <w:pStyle w:val="Prrafodelista"/>
                    <w:numPr>
                      <w:ilvl w:val="0"/>
                      <w:numId w:val="5"/>
                    </w:numPr>
                    <w:ind w:left="-142" w:right="-23" w:hanging="284"/>
                    <w:jc w:val="both"/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Me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lh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or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i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 d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 desempenho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opera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cional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compensa fatores de 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inflação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de c</w:t>
                  </w:r>
                  <w:r w:rsidR="00DF6872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ustos</w:t>
                  </w:r>
                </w:p>
                <w:p w14:paraId="4AB5D1F6" w14:textId="77777777" w:rsidR="00537F00" w:rsidRPr="00304EF9" w:rsidRDefault="00537F00" w:rsidP="00537F00">
                  <w:pPr>
                    <w:ind w:left="-426" w:right="-23"/>
                    <w:jc w:val="both"/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</w:pPr>
                </w:p>
                <w:p w14:paraId="3C44978B" w14:textId="0A8BCF9D" w:rsidR="00537F00" w:rsidRPr="00304EF9" w:rsidRDefault="00537F00" w:rsidP="00537F00">
                  <w:pPr>
                    <w:ind w:left="-426" w:right="-23"/>
                    <w:jc w:val="both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</w:pP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Cash </w:t>
                  </w:r>
                  <w:proofErr w:type="spellStart"/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Flow</w:t>
                  </w:r>
                  <w:proofErr w:type="spellEnd"/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 li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v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re antes de aquisi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çõ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es de 3000 mil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hões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de euros, o que refle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te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a me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lh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or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i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a d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o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EBITDA 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e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a 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acentuada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redu</w:t>
                  </w:r>
                  <w:r w:rsidR="00DF6872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 xml:space="preserve">ção do </w:t>
                  </w:r>
                  <w:r w:rsidRPr="00304EF9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pt-PT"/>
                    </w:rPr>
                    <w:t>capital circulante.</w:t>
                  </w:r>
                </w:p>
                <w:p w14:paraId="2E768CC9" w14:textId="080ED513" w:rsidR="00537F00" w:rsidRPr="00304EF9" w:rsidRDefault="00537F00" w:rsidP="00537F00">
                  <w:pPr>
                    <w:pStyle w:val="Prrafodelista"/>
                    <w:numPr>
                      <w:ilvl w:val="0"/>
                      <w:numId w:val="6"/>
                    </w:numPr>
                    <w:ind w:left="-142" w:right="-22" w:hanging="284"/>
                    <w:jc w:val="both"/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EBITDA aument</w:t>
                  </w:r>
                  <w:r w:rsidR="00464B2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ou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4%</w:t>
                  </w:r>
                  <w:r w:rsidR="00464B2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, para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5500 mil</w:t>
                  </w:r>
                  <w:r w:rsidR="00464B2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hõe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s de euros, o</w:t>
                  </w:r>
                  <w:r w:rsidR="00464B2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u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19,4% das ven</w:t>
                  </w:r>
                  <w:r w:rsidR="00464B23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d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as</w:t>
                  </w:r>
                </w:p>
                <w:p w14:paraId="1503B3F8" w14:textId="6FB3D467" w:rsidR="00537F00" w:rsidRPr="00304EF9" w:rsidRDefault="00537F00" w:rsidP="00537F00">
                  <w:pPr>
                    <w:pStyle w:val="Prrafodelista"/>
                    <w:numPr>
                      <w:ilvl w:val="0"/>
                      <w:numId w:val="6"/>
                    </w:numPr>
                    <w:ind w:left="-142" w:right="-22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Redu</w:t>
                  </w:r>
                  <w:r w:rsidR="00464B23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ção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de 1000 mil</w:t>
                  </w:r>
                  <w:r w:rsidR="003F1863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hõe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de euros </w:t>
                  </w:r>
                  <w:r w:rsidR="00464B23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no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capital circulante, impuls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ion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ada por 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 diminuição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tanto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nos volumes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de inventario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como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de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valor</w:t>
                  </w:r>
                </w:p>
                <w:p w14:paraId="4A1BE65E" w14:textId="1B77F69B" w:rsidR="00537F00" w:rsidRPr="00304EF9" w:rsidRDefault="00537F00" w:rsidP="00537F00">
                  <w:pPr>
                    <w:pStyle w:val="Prrafodelista"/>
                    <w:numPr>
                      <w:ilvl w:val="0"/>
                      <w:numId w:val="6"/>
                    </w:numPr>
                    <w:ind w:left="-142" w:right="-22" w:hanging="284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Contribu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ição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positiva de 200 mil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hõe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de euros das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joint-ventures e das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empresas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associadas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, 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particular da empresa conjunta de distribu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ição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TBC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nis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</w:t>
                  </w:r>
                </w:p>
                <w:p w14:paraId="2B61839C" w14:textId="34FF9C6F" w:rsidR="00537F00" w:rsidRPr="00304EF9" w:rsidRDefault="00537F00" w:rsidP="00537F00">
                  <w:pPr>
                    <w:tabs>
                      <w:tab w:val="left" w:pos="284"/>
                    </w:tabs>
                    <w:spacing w:before="240"/>
                    <w:ind w:left="-426" w:right="-22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bookmarkStart w:id="0" w:name="_Hlk62734760"/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ROCE alcan</w:t>
                  </w:r>
                  <w:r w:rsidR="00B82C8B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çou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11,4%,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para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0,6 p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ntos, refle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tindo a performance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intrínsec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 e a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gest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ão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ativa da carte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ra.</w:t>
                  </w:r>
                </w:p>
                <w:p w14:paraId="5702BAE2" w14:textId="60E86EAC" w:rsidR="00537F00" w:rsidRPr="00304EF9" w:rsidRDefault="00B82C8B" w:rsidP="00537F00">
                  <w:pPr>
                    <w:tabs>
                      <w:tab w:val="left" w:pos="284"/>
                    </w:tabs>
                    <w:spacing w:before="240"/>
                    <w:ind w:left="-426" w:right="-22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Resultado líquido manteve-se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est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ável,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2000 mil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hõe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de euros, apesar dos 600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milhões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de euros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de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provis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õe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para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 reestrutura</w:t>
                  </w:r>
                  <w:r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ção </w:t>
                  </w:r>
                  <w:r w:rsidR="00537F00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industrial.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rá proposto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à Assembleia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Geral de Acionistas u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dividendo de 1,35 euros por a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ção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mais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8% que e</w:t>
                  </w:r>
                  <w:r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="00537F00"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2022.</w:t>
                  </w:r>
                </w:p>
                <w:p w14:paraId="1EC84752" w14:textId="50D25A42" w:rsidR="00537F00" w:rsidRPr="00304EF9" w:rsidRDefault="00537F00" w:rsidP="00537F00">
                  <w:pPr>
                    <w:tabs>
                      <w:tab w:val="left" w:pos="284"/>
                    </w:tabs>
                    <w:spacing w:before="240" w:after="60"/>
                    <w:ind w:left="-426" w:right="-22"/>
                    <w:jc w:val="both"/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Dada 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 s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u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ge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r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ção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de ca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ix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 estrutural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, e a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su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sólida estrutura financ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eir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a, 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o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Grupo iniciará u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programa de recompra de a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çõ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es, que pod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r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á alcançar até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1000 mil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hõ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es de euros 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no período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2024-2026.</w:t>
                  </w:r>
                </w:p>
                <w:p w14:paraId="0464D8C1" w14:textId="40CA1CBE" w:rsidR="00537F00" w:rsidRPr="00304EF9" w:rsidRDefault="00537F00" w:rsidP="00537F00">
                  <w:pPr>
                    <w:spacing w:before="240" w:after="60"/>
                    <w:ind w:left="-426" w:right="-22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Michelin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mantém a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estratégia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"Michelin in Motion 2030"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nos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us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dois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o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u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tros pilares.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lado das pe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soas, 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2023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regist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ou-se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ma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ta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x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de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compromisso recorde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de 83,5%.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Grupo també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está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 melhorar a sua pegada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ambiental, redu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zindo o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consumo de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á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gua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m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10%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e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as emis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sõ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es de CO2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em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6% (alcances 1 </w:t>
                  </w:r>
                  <w:r w:rsidR="00B82C8B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e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2).</w:t>
                  </w:r>
                </w:p>
                <w:bookmarkEnd w:id="0"/>
                <w:p w14:paraId="2BDC0DED" w14:textId="5181E7C6" w:rsidR="00537F00" w:rsidRPr="00304EF9" w:rsidRDefault="00537F00" w:rsidP="00537F00">
                  <w:pPr>
                    <w:spacing w:before="240" w:after="60"/>
                    <w:ind w:left="-426" w:right="-22"/>
                    <w:jc w:val="both"/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</w:pP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lastRenderedPageBreak/>
                    <w:t>Florent Menegaux, presidente, d</w:t>
                  </w:r>
                  <w:r w:rsidR="00981709"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eclar</w:t>
                  </w:r>
                  <w:r w:rsidR="00B82C8B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ou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: </w:t>
                  </w:r>
                  <w:r w:rsidRPr="00304EF9">
                    <w:rPr>
                      <w:rFonts w:ascii="Verdana" w:hAnsi="Verdana"/>
                      <w:bCs/>
                      <w:i/>
                      <w:iCs/>
                      <w:sz w:val="18"/>
                      <w:szCs w:val="28"/>
                      <w:lang w:val="pt-PT"/>
                    </w:rPr>
                    <w:t>"</w:t>
                  </w:r>
                  <w:r w:rsidR="00B82C8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Num ambiente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empresarial desafiante, </w:t>
                  </w:r>
                  <w:r w:rsidR="00B82C8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as nossas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equip</w:t>
                  </w:r>
                  <w:r w:rsidR="00B82C8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a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s altamente comprometid</w:t>
                  </w:r>
                  <w:r w:rsidR="00B82C8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a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s </w:t>
                  </w:r>
                  <w:r w:rsidR="00B82C8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contribuíram par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a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o alcançar d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>os sólidos resultados que anunciamos ho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je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pt-PT"/>
                    </w:rPr>
                    <w:t xml:space="preserve">para 2023.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Gostaria de agradecer-lhes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de todo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o coração pela sua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tremenda capacidad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e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 de ada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p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ta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ção diária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. Co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m estes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resultados,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o nosso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Grupo de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u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mostra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s da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su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a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 capacidad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e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 para cump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r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ir co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m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os objetivos fi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x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ados para 2023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no âmbito da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su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a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estratégia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"Michelin in Motion 2030"</w:t>
                  </w:r>
                  <w:r w:rsidR="001E4EED">
                    <w:rPr>
                      <w:rFonts w:ascii="Verdana" w:hAnsi="Verdana"/>
                      <w:bCs/>
                      <w:i/>
                      <w:iCs/>
                      <w:sz w:val="18"/>
                      <w:szCs w:val="28"/>
                      <w:lang w:val="pt-PT"/>
                    </w:rPr>
                    <w:t xml:space="preserve">, e anseia pelos 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próximos pa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s</w:t>
                  </w:r>
                  <w:r w:rsidRPr="00304EF9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 xml:space="preserve">sos </w:t>
                  </w:r>
                  <w:r w:rsidR="001E4EED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pt-PT"/>
                    </w:rPr>
                    <w:t>a implementar</w:t>
                  </w:r>
                  <w:r w:rsidRPr="00304EF9">
                    <w:rPr>
                      <w:rFonts w:ascii="Verdana" w:hAnsi="Verdana"/>
                      <w:bCs/>
                      <w:i/>
                      <w:iCs/>
                      <w:sz w:val="18"/>
                      <w:szCs w:val="28"/>
                      <w:lang w:val="pt-PT"/>
                    </w:rPr>
                    <w:t>".</w:t>
                  </w:r>
                </w:p>
                <w:tbl>
                  <w:tblPr>
                    <w:tblpPr w:leftFromText="141" w:rightFromText="141" w:vertAnchor="text" w:horzAnchor="margin" w:tblpX="-147" w:tblpY="1725"/>
                    <w:tblW w:w="90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5"/>
                    <w:gridCol w:w="1134"/>
                    <w:gridCol w:w="1134"/>
                    <w:gridCol w:w="1134"/>
                  </w:tblGrid>
                  <w:tr w:rsidR="00F00B20" w:rsidRPr="00304EF9" w14:paraId="35CEDD66" w14:textId="77777777" w:rsidTr="00F00B20">
                    <w:trPr>
                      <w:trHeight w:val="409"/>
                    </w:trPr>
                    <w:tc>
                      <w:tcPr>
                        <w:tcW w:w="5665" w:type="dxa"/>
                        <w:shd w:val="clear" w:color="auto" w:fill="E6E6E6"/>
                        <w:vAlign w:val="center"/>
                      </w:tcPr>
                      <w:p w14:paraId="3B54B822" w14:textId="176EB2A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-262" w:right="-227"/>
                          <w:jc w:val="center"/>
                          <w:rPr>
                            <w:rFonts w:ascii="Verdana" w:eastAsia="Times New Roman" w:hAnsi="Verdana" w:cs="Arial"/>
                            <w:smallCaps/>
                            <w:sz w:val="20"/>
                            <w:szCs w:val="20"/>
                            <w:lang w:val="pt-PT"/>
                          </w:rPr>
                        </w:pPr>
                        <w:r w:rsidRPr="00304EF9">
                          <w:rPr>
                            <w:lang w:val="pt-PT"/>
                          </w:rPr>
                          <w:br w:type="page"/>
                        </w:r>
                        <w:r w:rsidRPr="00304EF9">
                          <w:rPr>
                            <w:rFonts w:ascii="Verdana" w:hAnsi="Verdana"/>
                            <w:smallCaps/>
                            <w:sz w:val="20"/>
                            <w:szCs w:val="20"/>
                            <w:lang w:val="pt-PT"/>
                          </w:rPr>
                          <w:t>(E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20"/>
                            <w:szCs w:val="20"/>
                            <w:lang w:val="pt-PT"/>
                          </w:rPr>
                          <w:t xml:space="preserve">MN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20"/>
                            <w:szCs w:val="20"/>
                            <w:lang w:val="pt-PT"/>
                          </w:rPr>
                          <w:t>MIL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20"/>
                            <w:szCs w:val="20"/>
                            <w:lang w:val="pt-PT"/>
                          </w:rPr>
                          <w:t>HÕ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20"/>
                            <w:szCs w:val="20"/>
                            <w:lang w:val="pt-PT"/>
                          </w:rPr>
                          <w:t>ES DE EUROS)</w:t>
                        </w:r>
                      </w:p>
                    </w:tc>
                    <w:tc>
                      <w:tcPr>
                        <w:tcW w:w="1134" w:type="dxa"/>
                        <w:shd w:val="clear" w:color="auto" w:fill="E6E6E6"/>
                      </w:tcPr>
                      <w:p w14:paraId="3C28BAFB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spacing w:before="120"/>
                          <w:jc w:val="right"/>
                          <w:rPr>
                            <w:rFonts w:ascii="Verdana" w:eastAsia="Times New Roman" w:hAnsi="Verdana" w:cs="Arial"/>
                            <w:bCs/>
                            <w:sz w:val="20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Cs/>
                            <w:sz w:val="20"/>
                            <w:szCs w:val="18"/>
                            <w:lang w:val="pt-PT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shd w:val="clear" w:color="auto" w:fill="E6E6E6"/>
                      </w:tcPr>
                      <w:p w14:paraId="019A05BB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spacing w:before="120"/>
                          <w:jc w:val="right"/>
                          <w:rPr>
                            <w:rFonts w:ascii="Verdana" w:eastAsia="Times New Roman" w:hAnsi="Verdana" w:cs="Arial"/>
                            <w:sz w:val="20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z w:val="20"/>
                            <w:lang w:val="pt-PT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E6E6E6"/>
                      </w:tcPr>
                      <w:p w14:paraId="0CDA828C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spacing w:before="120"/>
                          <w:jc w:val="right"/>
                          <w:rPr>
                            <w:rFonts w:ascii="Verdana" w:eastAsia="Times New Roman" w:hAnsi="Verdana" w:cs="Arial"/>
                            <w:bCs/>
                            <w:sz w:val="20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z w:val="20"/>
                            <w:lang w:val="pt-PT"/>
                          </w:rPr>
                          <w:t>2021</w:t>
                        </w:r>
                      </w:p>
                    </w:tc>
                  </w:tr>
                  <w:tr w:rsidR="00F00B20" w:rsidRPr="00304EF9" w14:paraId="4E77E731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vAlign w:val="center"/>
                      </w:tcPr>
                      <w:p w14:paraId="5C105B4C" w14:textId="302CD76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VEN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AS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A8B4E78" w14:textId="017C5266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28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343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D4E45F5" w14:textId="02148911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28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590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4EDEA54A" w14:textId="11FD7749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23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795</w:t>
                        </w:r>
                      </w:p>
                    </w:tc>
                  </w:tr>
                  <w:tr w:rsidR="00F00B20" w:rsidRPr="00304EF9" w14:paraId="1605BD51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ED1E70" w14:textId="4CF2D055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RESULTADO OPERACIONAL DOS SECTORES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B58E25" w14:textId="1971C7C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3572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1B0B04" w14:textId="3D0AFEE2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3396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26FBF" w14:textId="69E0E94C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left="360" w:hanging="360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2966</w:t>
                        </w:r>
                      </w:p>
                    </w:tc>
                  </w:tr>
                  <w:tr w:rsidR="00F00B20" w:rsidRPr="00304EF9" w14:paraId="212F701A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vAlign w:val="center"/>
                      </w:tcPr>
                      <w:p w14:paraId="753C987A" w14:textId="12D99CEE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MARGE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M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 OPERACIONAL DOS SECTORES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0B2682C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12,6%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7533088" w14:textId="77777777" w:rsidR="00F00B20" w:rsidRPr="00304EF9" w:rsidRDefault="00F00B20" w:rsidP="00F00B20">
                        <w:pPr>
                          <w:tabs>
                            <w:tab w:val="left" w:pos="301"/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11,9%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D79B55C" w14:textId="77777777" w:rsidR="00F00B20" w:rsidRPr="00304EF9" w:rsidRDefault="00F00B20" w:rsidP="00F00B20">
                        <w:pPr>
                          <w:tabs>
                            <w:tab w:val="left" w:pos="197"/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12,5%</w:t>
                        </w:r>
                      </w:p>
                    </w:tc>
                  </w:tr>
                  <w:tr w:rsidR="00F00B20" w:rsidRPr="00304EF9" w14:paraId="3B844640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vAlign w:val="center"/>
                      </w:tcPr>
                      <w:p w14:paraId="33EC5B94" w14:textId="742E0A94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TURISMO, 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COMERCIAIS LIGEIROS E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DISTRIBU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IÇÃO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A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S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SOCIADA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D821735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13,7%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C108F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12,1%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810AB3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13,7%</w:t>
                        </w:r>
                      </w:p>
                    </w:tc>
                  </w:tr>
                  <w:tr w:rsidR="00F00B20" w:rsidRPr="00304EF9" w14:paraId="13B7F24A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vAlign w:val="center"/>
                      </w:tcPr>
                      <w:p w14:paraId="5C87DB31" w14:textId="24C74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CAMI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ÃO E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DISTRIBU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IÇÃO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AS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S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OCIADA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F0CDC0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6,5%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B122E9E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8,6%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393448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9,6%</w:t>
                        </w:r>
                      </w:p>
                    </w:tc>
                  </w:tr>
                  <w:tr w:rsidR="00F00B20" w:rsidRPr="00304EF9" w14:paraId="4683622F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D6CA2A" w14:textId="21C8034E" w:rsidR="00F00B20" w:rsidRPr="001E4EED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ATIVIDADES DE ESPECIALIDADES 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 DISTRIBU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IÇÃO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AS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S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OCIADA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167975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16,5%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E734A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14,9%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9CC67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13,0%</w:t>
                        </w:r>
                      </w:p>
                    </w:tc>
                  </w:tr>
                  <w:tr w:rsidR="00F00B20" w:rsidRPr="00304EF9" w14:paraId="1FD873F2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5A8BF4" w14:textId="001F9890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O</w:t>
                        </w:r>
                        <w:r w:rsidR="001E4EED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U</w:t>
                        </w:r>
                        <w:r w:rsidRPr="00304EF9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TR</w:t>
                        </w:r>
                        <w:r w:rsidR="001E4EED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A</w:t>
                        </w:r>
                        <w:r w:rsidRPr="00304EF9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S </w:t>
                        </w:r>
                        <w:r w:rsidR="001E4EED"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RECEITAS E CUSTOS DE EXPLORAÇ§ÃO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B7D22D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(920)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06ED93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(375)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8D50973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(189)</w:t>
                        </w:r>
                      </w:p>
                    </w:tc>
                  </w:tr>
                  <w:tr w:rsidR="00F00B20" w:rsidRPr="00304EF9" w14:paraId="0E3D0F07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E4C56F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RESULTADO OPERACIONAL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7707D8" w14:textId="57E06B70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2652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74BF1C" w14:textId="68DB0699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2D4869D" w14:textId="7D198A6D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2777</w:t>
                        </w:r>
                      </w:p>
                    </w:tc>
                  </w:tr>
                  <w:tr w:rsidR="00F00B20" w:rsidRPr="00304EF9" w14:paraId="6FE17FEE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7638C9" w14:textId="3ABF9A6E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RESULTADO 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LÍQUIDO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6D6E87" w14:textId="57867AA2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1983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362662" w14:textId="359908FB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2009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A6B4276" w14:textId="4321A73C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1845</w:t>
                        </w:r>
                      </w:p>
                    </w:tc>
                  </w:tr>
                  <w:tr w:rsidR="00F00B20" w:rsidRPr="00304EF9" w14:paraId="65A9874F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F5D036" w14:textId="67B579D0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RESULTADO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 LÍQUIDO</w:t>
                        </w:r>
                        <w:r w:rsidR="001E4EED"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POR A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ÇÃO</w:t>
                        </w:r>
                        <w:r w:rsidRPr="00304EF9">
                          <w:rPr>
                            <w:rFonts w:ascii="Verdana" w:hAnsi="Verdana"/>
                            <w:sz w:val="18"/>
                            <w:szCs w:val="22"/>
                            <w:vertAlign w:val="superscript"/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1801B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€2,77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C7980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€2,81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52E20B4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€2,58</w:t>
                        </w:r>
                      </w:p>
                    </w:tc>
                  </w:tr>
                  <w:tr w:rsidR="00F00B20" w:rsidRPr="00304EF9" w14:paraId="0403018E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B8CD72" w14:textId="21B8748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DIVIDENDO POR A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ÇÃO</w:t>
                        </w:r>
                        <w:r w:rsidRPr="00304EF9">
                          <w:rPr>
                            <w:rStyle w:val="Refdenotaalpie"/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AE6FE5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€1,35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078A18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€1,25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A4995C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€1,125</w:t>
                        </w:r>
                      </w:p>
                    </w:tc>
                  </w:tr>
                  <w:tr w:rsidR="00F00B20" w:rsidRPr="00304EF9" w14:paraId="0CC034FB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5F6268" w14:textId="34A57DEC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EBITDA DOS SECTORES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EDDA4" w14:textId="5D1B759D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5489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99965B" w14:textId="4AFA5728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5262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B29C6E5" w14:textId="57E3397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4700</w:t>
                        </w:r>
                      </w:p>
                    </w:tc>
                  </w:tr>
                  <w:tr w:rsidR="00F00B20" w:rsidRPr="00304EF9" w14:paraId="46047D83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BD4957" w14:textId="3BFFFC69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INVE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STIMENTOS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(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EXCLUINDO 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AQUISI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ÇÕ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ES)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B36560" w14:textId="017BDCE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2236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44D463" w14:textId="00EE686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2141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094C2DD" w14:textId="1BCE641C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1705</w:t>
                        </w:r>
                      </w:p>
                    </w:tc>
                  </w:tr>
                  <w:tr w:rsidR="00F00B20" w:rsidRPr="00304EF9" w14:paraId="21C0D669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4FF3A4" w14:textId="380F0E7C" w:rsidR="00F00B20" w:rsidRPr="00304EF9" w:rsidRDefault="001E4EED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  <w:t>DÍVIDA LÍQUIDA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42A761" w14:textId="07D76896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3281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C150C" w14:textId="55292810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4320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7603AE9" w14:textId="6EB7CA0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2789</w:t>
                        </w:r>
                      </w:p>
                    </w:tc>
                  </w:tr>
                  <w:tr w:rsidR="00F00B20" w:rsidRPr="00304EF9" w14:paraId="364752E5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EE44D8" w14:textId="439BEF6D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P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RCENTA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G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M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 DE END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IVI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 xml:space="preserve">DAMENTO </w:t>
                        </w:r>
                        <w:r w:rsidR="001E4EED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LÍQUID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D41658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18,3%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69FBD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25,2%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BEE7690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18,6%</w:t>
                        </w:r>
                      </w:p>
                    </w:tc>
                  </w:tr>
                  <w:tr w:rsidR="00F00B20" w:rsidRPr="00304EF9" w14:paraId="1D6355EF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43FA46" w14:textId="262610FA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</w:t>
                        </w:r>
                        <w:r w:rsidR="003F1863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ÍVI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DA SOCIAL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E53C86" w14:textId="6DD3F8F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2726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4FCC80" w14:textId="26F2E16E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2561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8653307" w14:textId="76712C2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3362</w:t>
                        </w:r>
                      </w:p>
                    </w:tc>
                  </w:tr>
                  <w:tr w:rsidR="00F00B20" w:rsidRPr="00304EF9" w14:paraId="4C507A05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E462C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CASH FLOW LIBRE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vertAlign w:val="superscript"/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D510C" w14:textId="7803031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2343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0ADF0C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(180)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21BB737" w14:textId="32836973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1357</w:t>
                        </w:r>
                      </w:p>
                    </w:tc>
                  </w:tr>
                  <w:tr w:rsidR="00F00B20" w:rsidRPr="00304EF9" w14:paraId="30499763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65DEC5" w14:textId="07D8030A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CASH FLOW LIBRE ANTES DE AQUISI</w:t>
                        </w:r>
                        <w:r w:rsidR="003F1863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ÇÕ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1FF3F2" w14:textId="269A8C68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3009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DE7696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(104)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A783302" w14:textId="10CA0DE3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1464</w:t>
                        </w:r>
                      </w:p>
                    </w:tc>
                  </w:tr>
                  <w:tr w:rsidR="00F00B20" w:rsidRPr="00304EF9" w14:paraId="4058C3F0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418BA2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ROCE</w:t>
                        </w:r>
                        <w:r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vertAlign w:val="superscript"/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967115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11,4%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7D2B69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10,8%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9F753DB" w14:textId="77777777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10,3%</w:t>
                        </w:r>
                      </w:p>
                    </w:tc>
                  </w:tr>
                  <w:tr w:rsidR="00F00B20" w:rsidRPr="00304EF9" w14:paraId="7C55347D" w14:textId="77777777" w:rsidTr="00F00B20">
                    <w:trPr>
                      <w:trHeight w:val="326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619DB0" w14:textId="0D17DE3D" w:rsidR="00F00B20" w:rsidRPr="00304EF9" w:rsidRDefault="003F1863" w:rsidP="00F00B20">
                        <w:pPr>
                          <w:tabs>
                            <w:tab w:val="left" w:pos="360"/>
                          </w:tabs>
                          <w:ind w:right="-227"/>
                          <w:rPr>
                            <w:rFonts w:ascii="Verdana" w:eastAsia="Times New Roman" w:hAnsi="Verdana" w:cs="Arial"/>
                            <w:bCs/>
                            <w:smallCaps/>
                            <w:sz w:val="18"/>
                            <w:szCs w:val="22"/>
                            <w:lang w:val="pt-PT"/>
                          </w:rPr>
                        </w:pPr>
                        <w:r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FUNCIONÁRI</w:t>
                        </w:r>
                        <w:r w:rsidR="00F00B20"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lang w:val="pt-PT"/>
                          </w:rPr>
                          <w:t>OS</w:t>
                        </w:r>
                        <w:r w:rsidR="00F00B20" w:rsidRPr="00304EF9">
                          <w:rPr>
                            <w:rFonts w:ascii="Verdana" w:hAnsi="Verdana"/>
                            <w:smallCaps/>
                            <w:sz w:val="18"/>
                            <w:szCs w:val="22"/>
                            <w:vertAlign w:val="superscript"/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EB3810" w14:textId="07E0B8DF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132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D29076" w14:textId="10C8B099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132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5FCBFC1" w14:textId="6BFAD4FE" w:rsidR="00F00B20" w:rsidRPr="00304EF9" w:rsidRDefault="00F00B20" w:rsidP="00F00B20">
                        <w:pPr>
                          <w:tabs>
                            <w:tab w:val="left" w:pos="360"/>
                          </w:tabs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</w:pP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124</w:t>
                        </w:r>
                        <w:r w:rsidR="001E4EED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304EF9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  <w:lang w:val="pt-PT"/>
                          </w:rPr>
                          <w:t>760</w:t>
                        </w:r>
                      </w:p>
                    </w:tc>
                  </w:tr>
                </w:tbl>
                <w:p w14:paraId="340EFE36" w14:textId="12B54722" w:rsidR="00537F00" w:rsidRPr="00304EF9" w:rsidRDefault="00537F00" w:rsidP="00537F00">
                  <w:pPr>
                    <w:tabs>
                      <w:tab w:val="left" w:pos="284"/>
                    </w:tabs>
                    <w:spacing w:before="240" w:after="60"/>
                    <w:ind w:left="-426" w:right="-22"/>
                    <w:jc w:val="both"/>
                    <w:rPr>
                      <w:rFonts w:ascii="Verdana" w:hAnsi="Verdana"/>
                      <w:sz w:val="18"/>
                      <w:szCs w:val="28"/>
                      <w:lang w:val="pt-PT"/>
                    </w:rPr>
                  </w:pP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>Previs</w:t>
                  </w:r>
                  <w:r w:rsidR="001E4EED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ão </w:t>
                  </w:r>
                  <w:r w:rsidRPr="00304EF9">
                    <w:rPr>
                      <w:rFonts w:ascii="Verdana" w:hAnsi="Verdana"/>
                      <w:b/>
                      <w:sz w:val="18"/>
                      <w:szCs w:val="28"/>
                      <w:lang w:val="pt-PT"/>
                    </w:rPr>
                    <w:t xml:space="preserve">para 2024:  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em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mercados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mund</w:t>
                  </w:r>
                  <w:r w:rsidR="00174E20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i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ais 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globalmente est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áveis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, 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a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cima de 3500 mil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>hõe</w:t>
                  </w:r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s de euros </w:t>
                  </w:r>
                  <w:r w:rsidR="001E4EED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em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resultado operacional dos sectores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,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a t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axas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de c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â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mbio constantes; 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mais 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de 1500 mil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hõ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es de euros e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m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</w:t>
                  </w:r>
                  <w:r w:rsidRPr="00304EF9">
                    <w:rPr>
                      <w:rFonts w:ascii="Verdana" w:hAnsi="Verdana"/>
                      <w:i/>
                      <w:iCs/>
                      <w:sz w:val="18"/>
                      <w:szCs w:val="28"/>
                      <w:lang w:val="pt-PT"/>
                    </w:rPr>
                    <w:t xml:space="preserve">free cash </w:t>
                  </w:r>
                  <w:proofErr w:type="spellStart"/>
                  <w:r w:rsidRPr="00304EF9">
                    <w:rPr>
                      <w:rFonts w:ascii="Verdana" w:hAnsi="Verdana"/>
                      <w:i/>
                      <w:iCs/>
                      <w:sz w:val="18"/>
                      <w:szCs w:val="28"/>
                      <w:lang w:val="pt-PT"/>
                    </w:rPr>
                    <w:t>flow</w:t>
                  </w:r>
                  <w:proofErr w:type="spellEnd"/>
                  <w:r w:rsidRPr="00304EF9">
                    <w:rPr>
                      <w:rFonts w:ascii="Verdana" w:hAnsi="Verdana"/>
                      <w:sz w:val="18"/>
                      <w:szCs w:val="28"/>
                      <w:lang w:val="pt-PT"/>
                    </w:rPr>
                    <w:t xml:space="preserve"> antes de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 xml:space="preserve"> aquisi</w:t>
                  </w:r>
                  <w:r w:rsidR="001E4EED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ções</w:t>
                  </w:r>
                  <w:r w:rsidRPr="00304EF9">
                    <w:rPr>
                      <w:rFonts w:ascii="Verdana" w:hAnsi="Verdana"/>
                      <w:bCs/>
                      <w:sz w:val="18"/>
                      <w:szCs w:val="28"/>
                      <w:lang w:val="pt-PT"/>
                    </w:rPr>
                    <w:t>.</w:t>
                  </w:r>
                </w:p>
                <w:tbl>
                  <w:tblPr>
                    <w:tblStyle w:val="Tablaconcuadrcula"/>
                    <w:tblpPr w:leftFromText="141" w:rightFromText="141" w:vertAnchor="text" w:horzAnchor="margin" w:tblpX="-157" w:tblpY="244"/>
                    <w:tblW w:w="9072" w:type="dxa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00B20" w:rsidRPr="00304EF9" w14:paraId="785B5E00" w14:textId="77777777" w:rsidTr="00F00B20">
                    <w:trPr>
                      <w:trHeight w:val="367"/>
                    </w:trPr>
                    <w:tc>
                      <w:tcPr>
                        <w:tcW w:w="9072" w:type="dxa"/>
                      </w:tcPr>
                      <w:p w14:paraId="3F38928F" w14:textId="23407659" w:rsidR="00F00B20" w:rsidRPr="00304EF9" w:rsidRDefault="00F00B20" w:rsidP="00F00B20">
                        <w:pPr>
                          <w:tabs>
                            <w:tab w:val="num" w:pos="-284"/>
                          </w:tabs>
                          <w:spacing w:line="276" w:lineRule="auto"/>
                          <w:ind w:right="-23"/>
                          <w:jc w:val="both"/>
                          <w:rPr>
                            <w:rFonts w:ascii="Helvetica" w:hAnsi="Helvetica" w:cs="Helvetica"/>
                            <w:sz w:val="22"/>
                            <w:szCs w:val="22"/>
                            <w:lang w:val="pt-PT"/>
                          </w:rPr>
                        </w:pPr>
                        <w:r w:rsidRPr="00304EF9">
                          <w:rPr>
                            <w:rFonts w:ascii="Verdana" w:hAnsi="Verdana"/>
                            <w:b/>
                            <w:sz w:val="28"/>
                            <w:lang w:val="pt-PT"/>
                          </w:rPr>
                          <w:t>Resultados d</w:t>
                        </w:r>
                        <w:r w:rsidR="001E4EED">
                          <w:rPr>
                            <w:rFonts w:ascii="Verdana" w:hAnsi="Verdana"/>
                            <w:b/>
                            <w:sz w:val="28"/>
                            <w:lang w:val="pt-PT"/>
                          </w:rPr>
                          <w:t xml:space="preserve">o </w:t>
                        </w:r>
                        <w:r w:rsidRPr="00304EF9">
                          <w:rPr>
                            <w:rFonts w:ascii="Verdana" w:hAnsi="Verdana"/>
                            <w:b/>
                            <w:sz w:val="28"/>
                            <w:lang w:val="pt-PT"/>
                          </w:rPr>
                          <w:t>Grupo Michelin 2023</w:t>
                        </w:r>
                      </w:p>
                    </w:tc>
                  </w:tr>
                </w:tbl>
                <w:p w14:paraId="3E3B318A" w14:textId="7BEC37D7" w:rsidR="00537F00" w:rsidRPr="00304EF9" w:rsidRDefault="00000000" w:rsidP="000B3F1C">
                  <w:pPr>
                    <w:tabs>
                      <w:tab w:val="left" w:pos="284"/>
                    </w:tabs>
                    <w:spacing w:before="240" w:after="60"/>
                    <w:ind w:right="-22"/>
                    <w:jc w:val="both"/>
                    <w:rPr>
                      <w:rFonts w:ascii="Helvetica" w:hAnsi="Helvetica" w:cs="Helvetica"/>
                      <w:sz w:val="16"/>
                      <w:szCs w:val="16"/>
                      <w:lang w:val="pt-PT"/>
                    </w:rPr>
                  </w:pPr>
                </w:p>
              </w:sdtContent>
            </w:sdt>
          </w:sdtContent>
        </w:sdt>
        <w:p w14:paraId="13084EDA" w14:textId="2CD5FB29" w:rsidR="00537F00" w:rsidRPr="00304EF9" w:rsidRDefault="00537F00" w:rsidP="00F00B20">
          <w:pPr>
            <w:spacing w:line="276" w:lineRule="auto"/>
            <w:ind w:left="-142" w:right="-329"/>
            <w:jc w:val="both"/>
            <w:rPr>
              <w:rFonts w:ascii="Helvetica" w:hAnsi="Helvetica" w:cs="Helvetica"/>
              <w:sz w:val="22"/>
              <w:szCs w:val="22"/>
              <w:lang w:val="pt-PT"/>
            </w:rPr>
          </w:pPr>
          <w:r w:rsidRPr="00304EF9">
            <w:rPr>
              <w:rFonts w:ascii="Verdana" w:hAnsi="Verdana"/>
              <w:sz w:val="12"/>
              <w:vertAlign w:val="superscript"/>
              <w:lang w:val="pt-PT"/>
            </w:rPr>
            <w:t xml:space="preserve">1 </w:t>
          </w:r>
          <w:r w:rsidR="003F1863">
            <w:rPr>
              <w:rFonts w:ascii="Verdana" w:hAnsi="Verdana"/>
              <w:sz w:val="12"/>
              <w:lang w:val="pt-PT"/>
            </w:rPr>
            <w:t>Ganho</w:t>
          </w:r>
          <w:r w:rsidRPr="00304EF9">
            <w:rPr>
              <w:rFonts w:ascii="Verdana" w:hAnsi="Verdana"/>
              <w:sz w:val="12"/>
              <w:lang w:val="pt-PT"/>
            </w:rPr>
            <w:t>s por a</w:t>
          </w:r>
          <w:r w:rsidR="003F1863">
            <w:rPr>
              <w:rFonts w:ascii="Verdana" w:hAnsi="Verdana"/>
              <w:sz w:val="12"/>
              <w:lang w:val="pt-PT"/>
            </w:rPr>
            <w:t xml:space="preserve">ção </w:t>
          </w:r>
          <w:r w:rsidRPr="00304EF9">
            <w:rPr>
              <w:rFonts w:ascii="Verdana" w:hAnsi="Verdana"/>
              <w:sz w:val="12"/>
              <w:lang w:val="pt-PT"/>
            </w:rPr>
            <w:t xml:space="preserve">de 2021 </w:t>
          </w:r>
          <w:proofErr w:type="spellStart"/>
          <w:r w:rsidRPr="00304EF9">
            <w:rPr>
              <w:rFonts w:ascii="Verdana" w:hAnsi="Verdana"/>
              <w:sz w:val="12"/>
              <w:lang w:val="pt-PT"/>
            </w:rPr>
            <w:t>r</w:t>
          </w:r>
          <w:r w:rsidR="00174E20">
            <w:rPr>
              <w:rFonts w:ascii="Verdana" w:hAnsi="Verdana"/>
              <w:sz w:val="12"/>
              <w:lang w:val="pt-PT"/>
            </w:rPr>
            <w:t>e</w:t>
          </w:r>
          <w:r w:rsidRPr="00304EF9">
            <w:rPr>
              <w:rFonts w:ascii="Verdana" w:hAnsi="Verdana"/>
              <w:sz w:val="12"/>
              <w:lang w:val="pt-PT"/>
            </w:rPr>
            <w:t>expres</w:t>
          </w:r>
          <w:r w:rsidR="003F1863">
            <w:rPr>
              <w:rFonts w:ascii="Verdana" w:hAnsi="Verdana"/>
              <w:sz w:val="12"/>
              <w:lang w:val="pt-PT"/>
            </w:rPr>
            <w:t>sos</w:t>
          </w:r>
          <w:proofErr w:type="spellEnd"/>
          <w:r w:rsidR="003F1863">
            <w:rPr>
              <w:rFonts w:ascii="Verdana" w:hAnsi="Verdana"/>
              <w:sz w:val="12"/>
              <w:lang w:val="pt-PT"/>
            </w:rPr>
            <w:t xml:space="preserve"> </w:t>
          </w:r>
          <w:r w:rsidRPr="00304EF9">
            <w:rPr>
              <w:rFonts w:ascii="Verdana" w:hAnsi="Verdana"/>
              <w:sz w:val="12"/>
              <w:lang w:val="pt-PT"/>
            </w:rPr>
            <w:t>para refle</w:t>
          </w:r>
          <w:r w:rsidR="003F1863">
            <w:rPr>
              <w:rFonts w:ascii="Verdana" w:hAnsi="Verdana"/>
              <w:sz w:val="12"/>
              <w:lang w:val="pt-PT"/>
            </w:rPr>
            <w:t xml:space="preserve">tir </w:t>
          </w:r>
          <w:r w:rsidRPr="00304EF9">
            <w:rPr>
              <w:rFonts w:ascii="Verdana" w:hAnsi="Verdana"/>
              <w:sz w:val="12"/>
              <w:lang w:val="pt-PT"/>
            </w:rPr>
            <w:t xml:space="preserve">a </w:t>
          </w:r>
          <w:r w:rsidR="003F1863">
            <w:rPr>
              <w:rFonts w:ascii="Verdana" w:hAnsi="Verdana"/>
              <w:sz w:val="12"/>
              <w:lang w:val="pt-PT"/>
            </w:rPr>
            <w:t xml:space="preserve">repartição </w:t>
          </w:r>
          <w:r w:rsidRPr="00304EF9">
            <w:rPr>
              <w:rFonts w:ascii="Verdana" w:hAnsi="Verdana"/>
              <w:sz w:val="12"/>
              <w:lang w:val="pt-PT"/>
            </w:rPr>
            <w:t>de a</w:t>
          </w:r>
          <w:r w:rsidR="003F1863">
            <w:rPr>
              <w:rFonts w:ascii="Verdana" w:hAnsi="Verdana"/>
              <w:sz w:val="12"/>
              <w:lang w:val="pt-PT"/>
            </w:rPr>
            <w:t xml:space="preserve">ções </w:t>
          </w:r>
          <w:r w:rsidRPr="00304EF9">
            <w:rPr>
              <w:rFonts w:ascii="Verdana" w:hAnsi="Verdana"/>
              <w:sz w:val="12"/>
              <w:lang w:val="pt-PT"/>
            </w:rPr>
            <w:t xml:space="preserve">de </w:t>
          </w:r>
          <w:r w:rsidR="003F1863">
            <w:rPr>
              <w:rFonts w:ascii="Verdana" w:hAnsi="Verdana"/>
              <w:sz w:val="12"/>
              <w:lang w:val="pt-PT"/>
            </w:rPr>
            <w:t>q</w:t>
          </w:r>
          <w:r w:rsidRPr="00304EF9">
            <w:rPr>
              <w:rFonts w:ascii="Verdana" w:hAnsi="Verdana"/>
              <w:sz w:val="12"/>
              <w:lang w:val="pt-PT"/>
            </w:rPr>
            <w:t>uatro por u</w:t>
          </w:r>
          <w:r w:rsidR="003F1863">
            <w:rPr>
              <w:rFonts w:ascii="Verdana" w:hAnsi="Verdana"/>
              <w:sz w:val="12"/>
              <w:lang w:val="pt-PT"/>
            </w:rPr>
            <w:t xml:space="preserve">m a </w:t>
          </w:r>
          <w:r w:rsidRPr="00304EF9">
            <w:rPr>
              <w:rFonts w:ascii="Verdana" w:hAnsi="Verdana"/>
              <w:sz w:val="12"/>
              <w:lang w:val="pt-PT"/>
            </w:rPr>
            <w:t>16 de jun</w:t>
          </w:r>
          <w:r w:rsidR="003F1863">
            <w:rPr>
              <w:rFonts w:ascii="Verdana" w:hAnsi="Verdana"/>
              <w:sz w:val="12"/>
              <w:lang w:val="pt-PT"/>
            </w:rPr>
            <w:t>h</w:t>
          </w:r>
          <w:r w:rsidRPr="00304EF9">
            <w:rPr>
              <w:rFonts w:ascii="Verdana" w:hAnsi="Verdana"/>
              <w:sz w:val="12"/>
              <w:lang w:val="pt-PT"/>
            </w:rPr>
            <w:t>o de 2022.</w:t>
          </w:r>
        </w:p>
        <w:p w14:paraId="40C5B20D" w14:textId="1E4DDF57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spacing w:line="360" w:lineRule="auto"/>
            <w:ind w:left="-142" w:right="-330"/>
            <w:rPr>
              <w:rFonts w:ascii="Verdana" w:hAnsi="Verdana" w:cstheme="minorHAnsi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sz w:val="12"/>
              <w:lang w:val="pt-PT"/>
            </w:rPr>
            <w:t xml:space="preserve">  2021 </w:t>
          </w:r>
          <w:r w:rsidR="003F1863">
            <w:rPr>
              <w:rFonts w:ascii="Verdana" w:hAnsi="Verdana"/>
              <w:sz w:val="12"/>
              <w:lang w:val="pt-PT"/>
            </w:rPr>
            <w:t>segundo o reportado</w:t>
          </w:r>
          <w:r w:rsidRPr="00304EF9">
            <w:rPr>
              <w:rFonts w:ascii="Verdana" w:hAnsi="Verdana"/>
              <w:sz w:val="12"/>
              <w:lang w:val="pt-PT"/>
            </w:rPr>
            <w:t>: 10,31 €</w:t>
          </w:r>
        </w:p>
        <w:p w14:paraId="7B4C60AE" w14:textId="70E99474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ind w:left="-142" w:right="-330"/>
            <w:rPr>
              <w:rFonts w:ascii="Verdana" w:hAnsi="Verdana" w:cstheme="minorHAnsi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sz w:val="12"/>
              <w:vertAlign w:val="superscript"/>
              <w:lang w:val="pt-PT"/>
            </w:rPr>
            <w:t xml:space="preserve">2 </w:t>
          </w:r>
          <w:r w:rsidRPr="00304EF9">
            <w:rPr>
              <w:rFonts w:ascii="Verdana" w:hAnsi="Verdana"/>
              <w:sz w:val="12"/>
              <w:lang w:val="pt-PT"/>
            </w:rPr>
            <w:t xml:space="preserve">Dividendo </w:t>
          </w:r>
          <w:r w:rsidR="003F1863">
            <w:rPr>
              <w:rFonts w:ascii="Verdana" w:hAnsi="Verdana"/>
              <w:sz w:val="12"/>
              <w:lang w:val="pt-PT"/>
            </w:rPr>
            <w:t xml:space="preserve">de </w:t>
          </w:r>
          <w:r w:rsidRPr="00304EF9">
            <w:rPr>
              <w:rFonts w:ascii="Verdana" w:hAnsi="Verdana"/>
              <w:sz w:val="12"/>
              <w:lang w:val="pt-PT"/>
            </w:rPr>
            <w:t>2023 suje</w:t>
          </w:r>
          <w:r w:rsidR="003F1863">
            <w:rPr>
              <w:rFonts w:ascii="Verdana" w:hAnsi="Verdana"/>
              <w:sz w:val="12"/>
              <w:lang w:val="pt-PT"/>
            </w:rPr>
            <w:t>i</w:t>
          </w:r>
          <w:r w:rsidRPr="00304EF9">
            <w:rPr>
              <w:rFonts w:ascii="Verdana" w:hAnsi="Verdana"/>
              <w:sz w:val="12"/>
              <w:lang w:val="pt-PT"/>
            </w:rPr>
            <w:t>to a apro</w:t>
          </w:r>
          <w:r w:rsidR="003F1863">
            <w:rPr>
              <w:rFonts w:ascii="Verdana" w:hAnsi="Verdana"/>
              <w:sz w:val="12"/>
              <w:lang w:val="pt-PT"/>
            </w:rPr>
            <w:t>v</w:t>
          </w:r>
          <w:r w:rsidRPr="00304EF9">
            <w:rPr>
              <w:rFonts w:ascii="Verdana" w:hAnsi="Verdana"/>
              <w:sz w:val="12"/>
              <w:lang w:val="pt-PT"/>
            </w:rPr>
            <w:t>a</w:t>
          </w:r>
          <w:r w:rsidR="003F1863">
            <w:rPr>
              <w:rFonts w:ascii="Verdana" w:hAnsi="Verdana"/>
              <w:sz w:val="12"/>
              <w:lang w:val="pt-PT"/>
            </w:rPr>
            <w:t xml:space="preserve">ção pela Assembleia </w:t>
          </w:r>
          <w:r w:rsidRPr="00304EF9">
            <w:rPr>
              <w:rFonts w:ascii="Verdana" w:hAnsi="Verdana"/>
              <w:sz w:val="12"/>
              <w:lang w:val="pt-PT"/>
            </w:rPr>
            <w:t>Geral Ordin</w:t>
          </w:r>
          <w:r w:rsidR="003F1863">
            <w:rPr>
              <w:rFonts w:ascii="Verdana" w:hAnsi="Verdana"/>
              <w:sz w:val="12"/>
              <w:lang w:val="pt-PT"/>
            </w:rPr>
            <w:t>á</w:t>
          </w:r>
          <w:r w:rsidRPr="00304EF9">
            <w:rPr>
              <w:rFonts w:ascii="Verdana" w:hAnsi="Verdana"/>
              <w:sz w:val="12"/>
              <w:lang w:val="pt-PT"/>
            </w:rPr>
            <w:t>ria</w:t>
          </w:r>
          <w:r w:rsidR="003F1863">
            <w:rPr>
              <w:rFonts w:ascii="Verdana" w:hAnsi="Verdana"/>
              <w:sz w:val="12"/>
              <w:lang w:val="pt-PT"/>
            </w:rPr>
            <w:t xml:space="preserve"> </w:t>
          </w:r>
          <w:r w:rsidRPr="00304EF9">
            <w:rPr>
              <w:rFonts w:ascii="Verdana" w:hAnsi="Verdana"/>
              <w:sz w:val="12"/>
              <w:lang w:val="pt-PT"/>
            </w:rPr>
            <w:t>de Acionistas de</w:t>
          </w:r>
          <w:r w:rsidR="003F1863">
            <w:rPr>
              <w:rFonts w:ascii="Verdana" w:hAnsi="Verdana"/>
              <w:sz w:val="12"/>
              <w:lang w:val="pt-PT"/>
            </w:rPr>
            <w:t xml:space="preserve"> </w:t>
          </w:r>
          <w:r w:rsidRPr="00304EF9">
            <w:rPr>
              <w:rFonts w:ascii="Verdana" w:hAnsi="Verdana"/>
              <w:sz w:val="12"/>
              <w:lang w:val="pt-PT"/>
            </w:rPr>
            <w:t>17 de ma</w:t>
          </w:r>
          <w:r w:rsidR="003F1863">
            <w:rPr>
              <w:rFonts w:ascii="Verdana" w:hAnsi="Verdana"/>
              <w:sz w:val="12"/>
              <w:lang w:val="pt-PT"/>
            </w:rPr>
            <w:t>io</w:t>
          </w:r>
          <w:r w:rsidRPr="00304EF9">
            <w:rPr>
              <w:rFonts w:ascii="Verdana" w:hAnsi="Verdana"/>
              <w:sz w:val="12"/>
              <w:lang w:val="pt-PT"/>
            </w:rPr>
            <w:t xml:space="preserve"> de 2024</w:t>
          </w:r>
        </w:p>
        <w:p w14:paraId="3C25E9C0" w14:textId="69B885DF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ind w:left="-142" w:right="-330"/>
            <w:rPr>
              <w:rFonts w:ascii="Verdana" w:hAnsi="Verdana" w:cstheme="minorHAnsi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sz w:val="12"/>
              <w:lang w:val="pt-PT"/>
            </w:rPr>
            <w:t xml:space="preserve">  </w:t>
          </w:r>
          <w:r w:rsidR="003F1863">
            <w:rPr>
              <w:rFonts w:ascii="Verdana" w:hAnsi="Verdana"/>
              <w:sz w:val="12"/>
              <w:lang w:val="pt-PT"/>
            </w:rPr>
            <w:t>D</w:t>
          </w:r>
          <w:r w:rsidRPr="00304EF9">
            <w:rPr>
              <w:rFonts w:ascii="Verdana" w:hAnsi="Verdana"/>
              <w:sz w:val="12"/>
              <w:lang w:val="pt-PT"/>
            </w:rPr>
            <w:t>ividendo por a</w:t>
          </w:r>
          <w:r w:rsidR="003F1863">
            <w:rPr>
              <w:rFonts w:ascii="Verdana" w:hAnsi="Verdana"/>
              <w:sz w:val="12"/>
              <w:lang w:val="pt-PT"/>
            </w:rPr>
            <w:t xml:space="preserve">ção </w:t>
          </w:r>
          <w:r w:rsidRPr="00304EF9">
            <w:rPr>
              <w:rFonts w:ascii="Verdana" w:hAnsi="Verdana"/>
              <w:sz w:val="12"/>
              <w:lang w:val="pt-PT"/>
            </w:rPr>
            <w:t>de 2021 reformul</w:t>
          </w:r>
          <w:r w:rsidR="003F1863">
            <w:rPr>
              <w:rFonts w:ascii="Verdana" w:hAnsi="Verdana"/>
              <w:sz w:val="12"/>
              <w:lang w:val="pt-PT"/>
            </w:rPr>
            <w:t xml:space="preserve">ado </w:t>
          </w:r>
          <w:r w:rsidRPr="00304EF9">
            <w:rPr>
              <w:rFonts w:ascii="Verdana" w:hAnsi="Verdana"/>
              <w:sz w:val="12"/>
              <w:lang w:val="pt-PT"/>
            </w:rPr>
            <w:t>para refle</w:t>
          </w:r>
          <w:r w:rsidR="003F1863">
            <w:rPr>
              <w:rFonts w:ascii="Verdana" w:hAnsi="Verdana"/>
              <w:sz w:val="12"/>
              <w:lang w:val="pt-PT"/>
            </w:rPr>
            <w:t>ti</w:t>
          </w:r>
          <w:r w:rsidRPr="00304EF9">
            <w:rPr>
              <w:rFonts w:ascii="Verdana" w:hAnsi="Verdana"/>
              <w:sz w:val="12"/>
              <w:lang w:val="pt-PT"/>
            </w:rPr>
            <w:t xml:space="preserve">r a </w:t>
          </w:r>
          <w:r w:rsidR="003F1863">
            <w:rPr>
              <w:rFonts w:ascii="Verdana" w:hAnsi="Verdana"/>
              <w:sz w:val="12"/>
              <w:lang w:val="pt-PT"/>
            </w:rPr>
            <w:t xml:space="preserve">repartição </w:t>
          </w:r>
          <w:r w:rsidRPr="00304EF9">
            <w:rPr>
              <w:rFonts w:ascii="Verdana" w:hAnsi="Verdana"/>
              <w:sz w:val="12"/>
              <w:lang w:val="pt-PT"/>
            </w:rPr>
            <w:t>de a</w:t>
          </w:r>
          <w:r w:rsidR="003F1863">
            <w:rPr>
              <w:rFonts w:ascii="Verdana" w:hAnsi="Verdana"/>
              <w:sz w:val="12"/>
              <w:lang w:val="pt-PT"/>
            </w:rPr>
            <w:t xml:space="preserve">ções </w:t>
          </w:r>
          <w:r w:rsidRPr="00304EF9">
            <w:rPr>
              <w:rFonts w:ascii="Verdana" w:hAnsi="Verdana"/>
              <w:sz w:val="12"/>
              <w:lang w:val="pt-PT"/>
            </w:rPr>
            <w:t xml:space="preserve">de </w:t>
          </w:r>
          <w:r w:rsidR="003F1863">
            <w:rPr>
              <w:rFonts w:ascii="Verdana" w:hAnsi="Verdana"/>
              <w:sz w:val="12"/>
              <w:lang w:val="pt-PT"/>
            </w:rPr>
            <w:t>q</w:t>
          </w:r>
          <w:r w:rsidRPr="00304EF9">
            <w:rPr>
              <w:rFonts w:ascii="Verdana" w:hAnsi="Verdana"/>
              <w:sz w:val="12"/>
              <w:lang w:val="pt-PT"/>
            </w:rPr>
            <w:t>uatro por u</w:t>
          </w:r>
          <w:r w:rsidR="003F1863">
            <w:rPr>
              <w:rFonts w:ascii="Verdana" w:hAnsi="Verdana"/>
              <w:sz w:val="12"/>
              <w:lang w:val="pt-PT"/>
            </w:rPr>
            <w:t xml:space="preserve">m a </w:t>
          </w:r>
          <w:r w:rsidRPr="00304EF9">
            <w:rPr>
              <w:rFonts w:ascii="Verdana" w:hAnsi="Verdana"/>
              <w:sz w:val="12"/>
              <w:lang w:val="pt-PT"/>
            </w:rPr>
            <w:t>16 de jun</w:t>
          </w:r>
          <w:r w:rsidR="003F1863">
            <w:rPr>
              <w:rFonts w:ascii="Verdana" w:hAnsi="Verdana"/>
              <w:sz w:val="12"/>
              <w:lang w:val="pt-PT"/>
            </w:rPr>
            <w:t>h</w:t>
          </w:r>
          <w:r w:rsidRPr="00304EF9">
            <w:rPr>
              <w:rFonts w:ascii="Verdana" w:hAnsi="Verdana"/>
              <w:sz w:val="12"/>
              <w:lang w:val="pt-PT"/>
            </w:rPr>
            <w:t>o de 2022.</w:t>
          </w:r>
        </w:p>
        <w:p w14:paraId="15852C04" w14:textId="71D3B29A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spacing w:line="360" w:lineRule="auto"/>
            <w:ind w:left="-142" w:right="-330"/>
            <w:rPr>
              <w:rFonts w:ascii="Verdana" w:hAnsi="Verdana" w:cstheme="minorHAnsi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sz w:val="12"/>
              <w:lang w:val="pt-PT"/>
            </w:rPr>
            <w:t xml:space="preserve">  2021 </w:t>
          </w:r>
          <w:r w:rsidR="003F1863">
            <w:rPr>
              <w:rFonts w:ascii="Verdana" w:hAnsi="Verdana"/>
              <w:sz w:val="12"/>
              <w:lang w:val="pt-PT"/>
            </w:rPr>
            <w:t>segundo o reportado</w:t>
          </w:r>
          <w:r w:rsidRPr="00304EF9">
            <w:rPr>
              <w:rFonts w:ascii="Verdana" w:hAnsi="Verdana"/>
              <w:sz w:val="12"/>
              <w:lang w:val="pt-PT"/>
            </w:rPr>
            <w:t>: 4,50 €</w:t>
          </w:r>
        </w:p>
        <w:p w14:paraId="30F650F3" w14:textId="6998E10E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ind w:left="-142" w:right="-330"/>
            <w:rPr>
              <w:rFonts w:ascii="Verdana" w:hAnsi="Verdana" w:cstheme="minorHAnsi"/>
              <w:sz w:val="12"/>
              <w:szCs w:val="12"/>
              <w:lang w:val="pt-PT"/>
            </w:rPr>
          </w:pPr>
          <w:r w:rsidRPr="00304EF9">
            <w:rPr>
              <w:rStyle w:val="Refdenotaalpie"/>
              <w:rFonts w:ascii="Verdana" w:hAnsi="Verdana"/>
              <w:sz w:val="12"/>
              <w:lang w:val="pt-PT"/>
            </w:rPr>
            <w:t>3</w:t>
          </w:r>
          <w:r w:rsidRPr="00304EF9">
            <w:rPr>
              <w:rFonts w:ascii="Verdana" w:hAnsi="Verdana"/>
              <w:sz w:val="12"/>
              <w:lang w:val="pt-PT"/>
            </w:rPr>
            <w:t xml:space="preserve"> </w:t>
          </w:r>
          <w:r w:rsidRPr="00304EF9">
            <w:rPr>
              <w:rFonts w:ascii="Verdana" w:hAnsi="Verdana"/>
              <w:i/>
              <w:iCs/>
              <w:sz w:val="12"/>
              <w:lang w:val="pt-PT"/>
            </w:rPr>
            <w:t xml:space="preserve">Free cash </w:t>
          </w:r>
          <w:proofErr w:type="spellStart"/>
          <w:r w:rsidRPr="00304EF9">
            <w:rPr>
              <w:rFonts w:ascii="Verdana" w:hAnsi="Verdana"/>
              <w:i/>
              <w:iCs/>
              <w:sz w:val="12"/>
              <w:lang w:val="pt-PT"/>
            </w:rPr>
            <w:t>flow</w:t>
          </w:r>
          <w:proofErr w:type="spellEnd"/>
          <w:r w:rsidRPr="00304EF9">
            <w:rPr>
              <w:rFonts w:ascii="Verdana" w:hAnsi="Verdana"/>
              <w:sz w:val="12"/>
              <w:lang w:val="pt-PT"/>
            </w:rPr>
            <w:t xml:space="preserve"> corresponde </w:t>
          </w:r>
          <w:r w:rsidR="003F1863">
            <w:rPr>
              <w:rFonts w:ascii="Verdana" w:hAnsi="Verdana"/>
              <w:sz w:val="12"/>
              <w:lang w:val="pt-PT"/>
            </w:rPr>
            <w:t xml:space="preserve">ao numerário líquido </w:t>
          </w:r>
          <w:r w:rsidRPr="00304EF9">
            <w:rPr>
              <w:rFonts w:ascii="Verdana" w:hAnsi="Verdana"/>
              <w:sz w:val="12"/>
              <w:lang w:val="pt-PT"/>
            </w:rPr>
            <w:t>das atividades de exp</w:t>
          </w:r>
          <w:r w:rsidR="003F1863">
            <w:rPr>
              <w:rFonts w:ascii="Verdana" w:hAnsi="Verdana"/>
              <w:sz w:val="12"/>
              <w:lang w:val="pt-PT"/>
            </w:rPr>
            <w:t>l</w:t>
          </w:r>
          <w:r w:rsidRPr="00304EF9">
            <w:rPr>
              <w:rFonts w:ascii="Verdana" w:hAnsi="Verdana"/>
              <w:sz w:val="12"/>
              <w:lang w:val="pt-PT"/>
            </w:rPr>
            <w:t>o</w:t>
          </w:r>
          <w:r w:rsidR="003F1863">
            <w:rPr>
              <w:rFonts w:ascii="Verdana" w:hAnsi="Verdana"/>
              <w:sz w:val="12"/>
              <w:lang w:val="pt-PT"/>
            </w:rPr>
            <w:t>r</w:t>
          </w:r>
          <w:r w:rsidRPr="00304EF9">
            <w:rPr>
              <w:rFonts w:ascii="Verdana" w:hAnsi="Verdana"/>
              <w:sz w:val="12"/>
              <w:lang w:val="pt-PT"/>
            </w:rPr>
            <w:t>a</w:t>
          </w:r>
          <w:r w:rsidR="003F1863">
            <w:rPr>
              <w:rFonts w:ascii="Verdana" w:hAnsi="Verdana"/>
              <w:sz w:val="12"/>
              <w:lang w:val="pt-PT"/>
            </w:rPr>
            <w:t xml:space="preserve">ção, </w:t>
          </w:r>
          <w:r w:rsidRPr="00304EF9">
            <w:rPr>
              <w:rFonts w:ascii="Verdana" w:hAnsi="Verdana"/>
              <w:sz w:val="12"/>
              <w:lang w:val="pt-PT"/>
            </w:rPr>
            <w:t xml:space="preserve">menos </w:t>
          </w:r>
          <w:r w:rsidR="003F1863">
            <w:rPr>
              <w:rFonts w:ascii="Verdana" w:hAnsi="Verdana"/>
              <w:sz w:val="12"/>
              <w:lang w:val="pt-PT"/>
            </w:rPr>
            <w:t xml:space="preserve">o numerário líquido </w:t>
          </w:r>
          <w:r w:rsidRPr="00304EF9">
            <w:rPr>
              <w:rFonts w:ascii="Verdana" w:hAnsi="Verdana"/>
              <w:sz w:val="12"/>
              <w:lang w:val="pt-PT"/>
            </w:rPr>
            <w:t>utilizado nas atividades de inves</w:t>
          </w:r>
          <w:r w:rsidR="003F1863">
            <w:rPr>
              <w:rFonts w:ascii="Verdana" w:hAnsi="Verdana"/>
              <w:sz w:val="12"/>
              <w:lang w:val="pt-PT"/>
            </w:rPr>
            <w:t>timento</w:t>
          </w:r>
          <w:r w:rsidRPr="00304EF9">
            <w:rPr>
              <w:rFonts w:ascii="Verdana" w:hAnsi="Verdana"/>
              <w:sz w:val="12"/>
              <w:lang w:val="pt-PT"/>
            </w:rPr>
            <w:t>, ajustado p</w:t>
          </w:r>
          <w:r w:rsidR="003F1863">
            <w:rPr>
              <w:rFonts w:ascii="Verdana" w:hAnsi="Verdana"/>
              <w:sz w:val="12"/>
              <w:lang w:val="pt-PT"/>
            </w:rPr>
            <w:t xml:space="preserve">elos </w:t>
          </w:r>
          <w:r w:rsidRPr="00304EF9">
            <w:rPr>
              <w:rFonts w:ascii="Verdana" w:hAnsi="Verdana"/>
              <w:sz w:val="12"/>
              <w:lang w:val="pt-PT"/>
            </w:rPr>
            <w:t>flu</w:t>
          </w:r>
          <w:r w:rsidR="003F1863">
            <w:rPr>
              <w:rFonts w:ascii="Verdana" w:hAnsi="Verdana"/>
              <w:sz w:val="12"/>
              <w:lang w:val="pt-PT"/>
            </w:rPr>
            <w:t>x</w:t>
          </w:r>
          <w:r w:rsidRPr="00304EF9">
            <w:rPr>
              <w:rFonts w:ascii="Verdana" w:hAnsi="Verdana"/>
              <w:sz w:val="12"/>
              <w:lang w:val="pt-PT"/>
            </w:rPr>
            <w:t xml:space="preserve">os de </w:t>
          </w:r>
          <w:r w:rsidR="003F1863">
            <w:rPr>
              <w:rFonts w:ascii="Verdana" w:hAnsi="Verdana"/>
              <w:sz w:val="12"/>
              <w:lang w:val="pt-PT"/>
            </w:rPr>
            <w:t xml:space="preserve">numerário líquidos </w:t>
          </w:r>
          <w:r w:rsidRPr="00304EF9">
            <w:rPr>
              <w:rFonts w:ascii="Verdana" w:hAnsi="Verdana"/>
              <w:sz w:val="12"/>
              <w:lang w:val="pt-PT"/>
            </w:rPr>
            <w:t>relacionados co</w:t>
          </w:r>
          <w:r w:rsidR="003F1863">
            <w:rPr>
              <w:rFonts w:ascii="Verdana" w:hAnsi="Verdana"/>
              <w:sz w:val="12"/>
              <w:lang w:val="pt-PT"/>
            </w:rPr>
            <w:t xml:space="preserve">m </w:t>
          </w:r>
          <w:r w:rsidRPr="00304EF9">
            <w:rPr>
              <w:rFonts w:ascii="Verdana" w:hAnsi="Verdana"/>
              <w:sz w:val="12"/>
              <w:lang w:val="pt-PT"/>
            </w:rPr>
            <w:t>os ativos financ</w:t>
          </w:r>
          <w:r w:rsidR="003F1863">
            <w:rPr>
              <w:rFonts w:ascii="Verdana" w:hAnsi="Verdana"/>
              <w:sz w:val="12"/>
              <w:lang w:val="pt-PT"/>
            </w:rPr>
            <w:t>ei</w:t>
          </w:r>
          <w:r w:rsidRPr="00304EF9">
            <w:rPr>
              <w:rFonts w:ascii="Verdana" w:hAnsi="Verdana"/>
              <w:sz w:val="12"/>
              <w:lang w:val="pt-PT"/>
            </w:rPr>
            <w:t>ros de gest</w:t>
          </w:r>
          <w:r w:rsidR="003F1863">
            <w:rPr>
              <w:rFonts w:ascii="Verdana" w:hAnsi="Verdana"/>
              <w:sz w:val="12"/>
              <w:lang w:val="pt-PT"/>
            </w:rPr>
            <w:t xml:space="preserve">ão </w:t>
          </w:r>
          <w:r w:rsidRPr="00304EF9">
            <w:rPr>
              <w:rFonts w:ascii="Verdana" w:hAnsi="Verdana"/>
              <w:sz w:val="12"/>
              <w:lang w:val="pt-PT"/>
            </w:rPr>
            <w:t xml:space="preserve">de </w:t>
          </w:r>
          <w:r w:rsidR="003F1863">
            <w:rPr>
              <w:rFonts w:ascii="Verdana" w:hAnsi="Verdana"/>
              <w:sz w:val="12"/>
              <w:lang w:val="pt-PT"/>
            </w:rPr>
            <w:t xml:space="preserve">tesouraria e de garantia </w:t>
          </w:r>
          <w:r w:rsidRPr="00304EF9">
            <w:rPr>
              <w:rFonts w:ascii="Verdana" w:hAnsi="Verdana"/>
              <w:sz w:val="12"/>
              <w:lang w:val="pt-PT"/>
            </w:rPr>
            <w:t>de emprésti</w:t>
          </w:r>
          <w:r w:rsidR="003F1863">
            <w:rPr>
              <w:rFonts w:ascii="Verdana" w:hAnsi="Verdana"/>
              <w:sz w:val="12"/>
              <w:lang w:val="pt-PT"/>
            </w:rPr>
            <w:t>m</w:t>
          </w:r>
          <w:r w:rsidRPr="00304EF9">
            <w:rPr>
              <w:rFonts w:ascii="Verdana" w:hAnsi="Verdana"/>
              <w:sz w:val="12"/>
              <w:lang w:val="pt-PT"/>
            </w:rPr>
            <w:t>o</w:t>
          </w:r>
          <w:r w:rsidR="003F1863">
            <w:rPr>
              <w:rFonts w:ascii="Verdana" w:hAnsi="Verdana"/>
              <w:sz w:val="12"/>
              <w:lang w:val="pt-PT"/>
            </w:rPr>
            <w:t>s</w:t>
          </w:r>
        </w:p>
        <w:p w14:paraId="748C364B" w14:textId="77777777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ind w:left="-142" w:right="-330"/>
            <w:rPr>
              <w:rFonts w:ascii="Verdana" w:hAnsi="Verdana" w:cstheme="minorHAnsi"/>
              <w:sz w:val="6"/>
              <w:szCs w:val="6"/>
              <w:lang w:val="pt-PT"/>
            </w:rPr>
          </w:pPr>
        </w:p>
        <w:p w14:paraId="420BC80B" w14:textId="5A392181" w:rsidR="00537F00" w:rsidRPr="00304EF9" w:rsidRDefault="00537F00" w:rsidP="00537F00">
          <w:pPr>
            <w:pStyle w:val="Prrafodelista"/>
            <w:autoSpaceDE w:val="0"/>
            <w:autoSpaceDN w:val="0"/>
            <w:adjustRightInd w:val="0"/>
            <w:ind w:left="-142" w:right="-330"/>
            <w:rPr>
              <w:rFonts w:ascii="Verdana" w:hAnsi="Verdana" w:cs="Calibri"/>
              <w:color w:val="000000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color w:val="000000"/>
              <w:sz w:val="12"/>
              <w:vertAlign w:val="superscript"/>
              <w:lang w:val="pt-PT"/>
            </w:rPr>
            <w:t xml:space="preserve">4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No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cálculo d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ROCE, a amortiza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ção d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os ativos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intangíveis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adquiridos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, e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a participa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ção do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Grupo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n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os resultados/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perdas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das sociedades contabilizadas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no património líquido, são adicionados às receitas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de explo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r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a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ção do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segmento.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ROCE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é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calcula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do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depois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de imp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o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stos, utilizando u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ma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ta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>x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 xml:space="preserve">a </w:t>
          </w:r>
          <w:r w:rsidR="003F1863">
            <w:rPr>
              <w:rFonts w:ascii="Verdana" w:hAnsi="Verdana"/>
              <w:color w:val="000000"/>
              <w:sz w:val="12"/>
              <w:lang w:val="pt-PT"/>
            </w:rPr>
            <w:t xml:space="preserve">padrão </w:t>
          </w:r>
          <w:r w:rsidRPr="00304EF9">
            <w:rPr>
              <w:rFonts w:ascii="Verdana" w:hAnsi="Verdana"/>
              <w:color w:val="000000"/>
              <w:sz w:val="12"/>
              <w:lang w:val="pt-PT"/>
            </w:rPr>
            <w:t>de 25%</w:t>
          </w:r>
        </w:p>
        <w:p w14:paraId="59061DF2" w14:textId="77777777" w:rsidR="00537F00" w:rsidRPr="00304EF9" w:rsidRDefault="00537F00" w:rsidP="00537F00">
          <w:pPr>
            <w:ind w:left="-142"/>
            <w:rPr>
              <w:rFonts w:ascii="Verdana" w:hAnsi="Verdana"/>
              <w:sz w:val="6"/>
              <w:szCs w:val="6"/>
              <w:vertAlign w:val="superscript"/>
              <w:lang w:val="pt-PT"/>
            </w:rPr>
          </w:pPr>
        </w:p>
        <w:p w14:paraId="5AB79F7C" w14:textId="0AFB6A11" w:rsidR="00537F00" w:rsidRPr="00304EF9" w:rsidRDefault="00537F00" w:rsidP="00537F00">
          <w:pPr>
            <w:ind w:left="-142"/>
            <w:rPr>
              <w:rFonts w:ascii="Verdana" w:eastAsia="Times New Roman" w:hAnsi="Verdana" w:cs="Calibri"/>
              <w:sz w:val="12"/>
              <w:szCs w:val="12"/>
              <w:lang w:val="pt-PT"/>
            </w:rPr>
          </w:pPr>
          <w:r w:rsidRPr="00304EF9">
            <w:rPr>
              <w:rFonts w:ascii="Verdana" w:hAnsi="Verdana"/>
              <w:sz w:val="12"/>
              <w:vertAlign w:val="superscript"/>
              <w:lang w:val="pt-PT"/>
            </w:rPr>
            <w:t xml:space="preserve">5 </w:t>
          </w:r>
          <w:r w:rsidR="003F1863">
            <w:rPr>
              <w:rFonts w:ascii="Verdana" w:hAnsi="Verdana"/>
              <w:sz w:val="12"/>
              <w:lang w:val="pt-PT"/>
            </w:rPr>
            <w:t xml:space="preserve">NO </w:t>
          </w:r>
          <w:r w:rsidRPr="00304EF9">
            <w:rPr>
              <w:rFonts w:ascii="Verdana" w:hAnsi="Verdana"/>
              <w:sz w:val="12"/>
              <w:lang w:val="pt-PT"/>
            </w:rPr>
            <w:t>final d</w:t>
          </w:r>
          <w:r w:rsidR="003F1863">
            <w:rPr>
              <w:rFonts w:ascii="Verdana" w:hAnsi="Verdana"/>
              <w:sz w:val="12"/>
              <w:lang w:val="pt-PT"/>
            </w:rPr>
            <w:t xml:space="preserve">o </w:t>
          </w:r>
          <w:r w:rsidRPr="00304EF9">
            <w:rPr>
              <w:rFonts w:ascii="Verdana" w:hAnsi="Verdana"/>
              <w:sz w:val="12"/>
              <w:lang w:val="pt-PT"/>
            </w:rPr>
            <w:t>período</w:t>
          </w:r>
          <w:r w:rsidR="003F1863">
            <w:rPr>
              <w:rFonts w:ascii="Verdana" w:hAnsi="Verdana"/>
              <w:sz w:val="12"/>
              <w:lang w:val="pt-PT"/>
            </w:rPr>
            <w:tab/>
          </w:r>
          <w:r w:rsidR="003F1863">
            <w:rPr>
              <w:rFonts w:ascii="Verdana" w:hAnsi="Verdana"/>
              <w:sz w:val="12"/>
              <w:lang w:val="pt-PT"/>
            </w:rPr>
            <w:tab/>
          </w:r>
        </w:p>
        <w:p w14:paraId="4FDDA085" w14:textId="658BA520" w:rsidR="006C3818" w:rsidRPr="00304EF9" w:rsidRDefault="00DF6BA4" w:rsidP="00DF6BA4">
          <w:pPr>
            <w:tabs>
              <w:tab w:val="left" w:pos="3555"/>
              <w:tab w:val="center" w:pos="4513"/>
            </w:tabs>
            <w:rPr>
              <w:rFonts w:ascii="Arial" w:hAnsi="Arial" w:cs="Arial"/>
              <w:sz w:val="20"/>
              <w:szCs w:val="20"/>
              <w:lang w:val="pt-PT"/>
            </w:rPr>
          </w:pPr>
          <w:r w:rsidRPr="00304EF9">
            <w:rPr>
              <w:lang w:val="pt-PT"/>
            </w:rPr>
            <w:tab/>
          </w:r>
          <w:r w:rsidRPr="00304EF9">
            <w:rPr>
              <w:lang w:val="pt-PT"/>
            </w:rPr>
            <w:tab/>
          </w:r>
          <w:r w:rsidR="00537F00" w:rsidRPr="00304EF9">
            <w:rPr>
              <w:lang w:val="pt-PT"/>
            </w:rPr>
            <w:br w:type="page"/>
          </w:r>
        </w:p>
        <w:p w14:paraId="648342B4" w14:textId="77777777" w:rsidR="003C3FC0" w:rsidRPr="00304EF9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B551981" w14:textId="6C1FEE63" w:rsidR="00DB1997" w:rsidRPr="00304EF9" w:rsidRDefault="00DB1997" w:rsidP="00DB199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7F5B9C2" w14:textId="77777777" w:rsidR="00E85291" w:rsidRPr="003D6C6D" w:rsidRDefault="00E85291" w:rsidP="00E85291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8E41999" w14:textId="77777777" w:rsidR="00E85291" w:rsidRPr="00C57F6C" w:rsidRDefault="00E85291" w:rsidP="00E8529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1B6DF6C" w14:textId="77777777" w:rsidR="00E85291" w:rsidRPr="00517A53" w:rsidRDefault="00E85291" w:rsidP="00E8529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0795F41" w14:textId="77777777" w:rsidR="0025090F" w:rsidRPr="00304EF9" w:rsidRDefault="0025090F" w:rsidP="00DB199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0189D3D" w14:textId="77777777" w:rsidR="00DB1997" w:rsidRPr="00304EF9" w:rsidRDefault="00DB199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3E1F596" w14:textId="3E977AA5" w:rsidR="0052344F" w:rsidRPr="00304EF9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48EF38" w14:textId="0D0E2B09" w:rsidR="0052344F" w:rsidRPr="00304EF9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5F3B6E0" w14:textId="77777777" w:rsidR="00E85291" w:rsidRPr="003D6C6D" w:rsidRDefault="00E85291" w:rsidP="00E8529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BBA1B8" w14:textId="77777777" w:rsidR="00E85291" w:rsidRPr="00002971" w:rsidRDefault="00E85291" w:rsidP="00E8529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637CA83" w14:textId="77777777" w:rsidR="00E85291" w:rsidRPr="00002971" w:rsidRDefault="00E85291" w:rsidP="00E85291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1560E60C" w14:textId="77777777" w:rsidR="00E85291" w:rsidRPr="00833986" w:rsidRDefault="00E85291" w:rsidP="00E85291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416627C3" w14:textId="77777777" w:rsidR="00E85291" w:rsidRDefault="00E85291" w:rsidP="00E85291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9" w:tgtFrame="_blank" w:history="1">
        <w:r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07102FAC" w14:textId="77777777" w:rsidR="00E85291" w:rsidRPr="00833986" w:rsidRDefault="00E85291" w:rsidP="00E85291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13018612" w14:textId="77777777" w:rsidR="00E85291" w:rsidRDefault="00E85291" w:rsidP="00E85291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5F15E413" wp14:editId="65DB9BDF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116F0" w14:textId="77777777" w:rsidR="00E85291" w:rsidRPr="00002971" w:rsidRDefault="00E85291" w:rsidP="00E85291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5291" w:rsidRPr="00002971" w14:paraId="0C41F797" w14:textId="77777777" w:rsidTr="00C54122">
        <w:tc>
          <w:tcPr>
            <w:tcW w:w="9016" w:type="dxa"/>
          </w:tcPr>
          <w:p w14:paraId="3F59CA15" w14:textId="77777777" w:rsidR="00E85291" w:rsidRDefault="00E85291" w:rsidP="00C5412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72AA59BF" w14:textId="77777777" w:rsidR="00E85291" w:rsidRPr="00002971" w:rsidRDefault="00E85291" w:rsidP="00C5412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E85291" w:rsidRPr="00002971" w14:paraId="51DD7DEE" w14:textId="77777777" w:rsidTr="00C54122">
        <w:tc>
          <w:tcPr>
            <w:tcW w:w="9016" w:type="dxa"/>
          </w:tcPr>
          <w:p w14:paraId="59C4116E" w14:textId="77777777" w:rsidR="00E85291" w:rsidRPr="00002971" w:rsidRDefault="00E85291" w:rsidP="00C54122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34F7943A" wp14:editId="10AACA56">
                  <wp:extent cx="135890" cy="135890"/>
                  <wp:effectExtent l="0" t="0" r="3810" b="3810"/>
                  <wp:docPr id="134110914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D65A67D" wp14:editId="64D9C015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454EE97" wp14:editId="79521C4D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934EC8D" w14:textId="77777777" w:rsidR="00E85291" w:rsidRPr="00002971" w:rsidRDefault="00E85291" w:rsidP="00E85291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E63B5F0" w14:textId="77777777" w:rsidR="00E85291" w:rsidRPr="00002971" w:rsidRDefault="00E85291" w:rsidP="00E85291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p w14:paraId="1247946D" w14:textId="77777777" w:rsidR="00E85291" w:rsidRPr="00002971" w:rsidRDefault="00E85291" w:rsidP="00E85291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1FC6C48A" w14:textId="77777777" w:rsidR="00904D93" w:rsidRPr="00304EF9" w:rsidRDefault="00904D93" w:rsidP="00904D93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38E2A23C" w14:textId="77777777" w:rsidR="00904D93" w:rsidRPr="00304EF9" w:rsidRDefault="00904D93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84A7A3F" w14:textId="77777777" w:rsidR="00904D93" w:rsidRPr="00304EF9" w:rsidRDefault="00904D93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F884547" w14:textId="77777777" w:rsidR="00904D93" w:rsidRPr="00304EF9" w:rsidRDefault="00904D93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sectPr w:rsidR="00904D93" w:rsidRPr="00304EF9" w:rsidSect="00CA4C5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00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5799" w14:textId="77777777" w:rsidR="008D11DA" w:rsidRDefault="008D11DA" w:rsidP="00F24D98">
      <w:r>
        <w:separator/>
      </w:r>
    </w:p>
  </w:endnote>
  <w:endnote w:type="continuationSeparator" w:id="0">
    <w:p w14:paraId="63B66D75" w14:textId="77777777" w:rsidR="008D11DA" w:rsidRDefault="008D11D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E905" w14:textId="77777777" w:rsidR="008D11DA" w:rsidRDefault="008D11DA" w:rsidP="00F24D98">
      <w:r>
        <w:separator/>
      </w:r>
    </w:p>
  </w:footnote>
  <w:footnote w:type="continuationSeparator" w:id="0">
    <w:p w14:paraId="0A95869C" w14:textId="77777777" w:rsidR="008D11DA" w:rsidRDefault="008D11D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6BC00B35" w:rsidR="00C53F0C" w:rsidRPr="00C53F0C" w:rsidRDefault="00775C35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417AD1F6" wp14:editId="7D6FD19C">
          <wp:simplePos x="0" y="0"/>
          <wp:positionH relativeFrom="column">
            <wp:posOffset>1488265</wp:posOffset>
          </wp:positionH>
          <wp:positionV relativeFrom="paragraph">
            <wp:posOffset>31531</wp:posOffset>
          </wp:positionV>
          <wp:extent cx="2457450" cy="654050"/>
          <wp:effectExtent l="0" t="0" r="0" b="0"/>
          <wp:wrapSquare wrapText="bothSides"/>
          <wp:docPr id="1037624237" name="Imagen 1037624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26FC751" w:rsidR="001963B1" w:rsidRDefault="004179AA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5C6AEFD3" wp14:editId="0D86E9E3">
          <wp:simplePos x="0" y="0"/>
          <wp:positionH relativeFrom="column">
            <wp:posOffset>1723868</wp:posOffset>
          </wp:positionH>
          <wp:positionV relativeFrom="paragraph">
            <wp:posOffset>224165</wp:posOffset>
          </wp:positionV>
          <wp:extent cx="2457450" cy="654050"/>
          <wp:effectExtent l="0" t="0" r="0" b="0"/>
          <wp:wrapSquare wrapText="bothSides"/>
          <wp:docPr id="1063673286" name="Imagen 1063673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714AA0EF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29E075A6" w:rsidR="000B3F91" w:rsidRPr="00BE269E" w:rsidRDefault="005D0EB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5D0EBE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 </w:t>
                          </w: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</w:t>
                          </w:r>
                          <w:r w:rsidR="00BE269E"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IMP</w:t>
                          </w:r>
                          <w:r w:rsidR="00BE269E"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c04Sk5AAAABABAAAPAAAAZHJzL2Rvd25y&#13;&#10;ZXYueG1sTE/LboMwELxXyj9YG6mXqjEpIhCCiaq+IuXW0Id6c7ALqHiNsAP077s5NZfV7s7s7Ey2&#13;&#10;nUzLBt27xqKA5SIAprG0qsFKwFvxfJsAc16ikq1FLeBXO9jms6tMpsqO+KqHg68YiaBLpYDa+y7l&#13;&#10;3JW1NtItbKeRsG/bG+lp7CuuejmSuGn5XRCsuJEN0odadvqh1uXP4WQEfN1Un3s3vbyPYRR2T7uh&#13;&#10;iD9UIcT1fHrcULnfAPN68v8XcM5A/iEnY0d7QuVYKyBM4jVRCVieG2IkUUTNkTbxegU8z/hlkPwP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XNOEpOQAAAAQAQAADwAAAAAAAAAAAAAA&#13;&#10;AACGBAAAZHJzL2Rvd25yZXYueG1sUEsFBgAAAAAEAAQA8wAAAJcFAAAAAA==&#13;&#10;" fillcolor="white [3201]" stroked="f" strokeweight=".5pt">
              <v:textbox>
                <w:txbxContent>
                  <w:p w14:paraId="5ECC90E7" w14:textId="29E075A6" w:rsidR="000B3F91" w:rsidRPr="00BE269E" w:rsidRDefault="005D0EB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5D0EBE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 </w:t>
                    </w: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</w:t>
                    </w:r>
                    <w:r w:rsidR="00BE269E"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de </w:t>
                    </w:r>
                    <w:proofErr w:type="spellStart"/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IMP</w:t>
                    </w:r>
                    <w:r w:rsidR="00BE269E"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rensa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D85EABD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</w:t>
                          </w:r>
                          <w:r w:rsidR="005D0EBE">
                            <w:rPr>
                              <w:rFonts w:ascii="Michelin Unit Titling" w:hAnsi="Michelin Unit Titling"/>
                              <w:color w:val="575757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D85EABD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</w:t>
                    </w:r>
                    <w:r w:rsidR="005D0EBE">
                      <w:rPr>
                        <w:rFonts w:ascii="Michelin Unit Titling" w:hAnsi="Michelin Unit Titling"/>
                        <w:color w:val="575757"/>
                      </w:rPr>
                      <w:t>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38B3323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6111449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0F"/>
    <w:multiLevelType w:val="multilevel"/>
    <w:tmpl w:val="CCC6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DE3296"/>
    <w:multiLevelType w:val="multilevel"/>
    <w:tmpl w:val="C51E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A6D96"/>
    <w:multiLevelType w:val="multilevel"/>
    <w:tmpl w:val="D178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1808576">
    <w:abstractNumId w:val="3"/>
  </w:num>
  <w:num w:numId="2" w16cid:durableId="2001227691">
    <w:abstractNumId w:val="2"/>
  </w:num>
  <w:num w:numId="3" w16cid:durableId="417796928">
    <w:abstractNumId w:val="4"/>
  </w:num>
  <w:num w:numId="4" w16cid:durableId="1679961458">
    <w:abstractNumId w:val="0"/>
  </w:num>
  <w:num w:numId="5" w16cid:durableId="242184555">
    <w:abstractNumId w:val="5"/>
  </w:num>
  <w:num w:numId="6" w16cid:durableId="146612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2036A"/>
    <w:rsid w:val="000778DE"/>
    <w:rsid w:val="000A0E8D"/>
    <w:rsid w:val="000A5386"/>
    <w:rsid w:val="000B3F1C"/>
    <w:rsid w:val="000B3F91"/>
    <w:rsid w:val="00112957"/>
    <w:rsid w:val="001162A2"/>
    <w:rsid w:val="00116A1A"/>
    <w:rsid w:val="001369E6"/>
    <w:rsid w:val="00154400"/>
    <w:rsid w:val="00170CB5"/>
    <w:rsid w:val="001712BA"/>
    <w:rsid w:val="00174E20"/>
    <w:rsid w:val="00186CCB"/>
    <w:rsid w:val="001932E6"/>
    <w:rsid w:val="001963B1"/>
    <w:rsid w:val="001D57AF"/>
    <w:rsid w:val="001D7552"/>
    <w:rsid w:val="001E4EED"/>
    <w:rsid w:val="001E520E"/>
    <w:rsid w:val="0021595A"/>
    <w:rsid w:val="002413B5"/>
    <w:rsid w:val="0025090F"/>
    <w:rsid w:val="00262F8B"/>
    <w:rsid w:val="00274DC8"/>
    <w:rsid w:val="002E1B98"/>
    <w:rsid w:val="00304EF9"/>
    <w:rsid w:val="00387E23"/>
    <w:rsid w:val="003930CA"/>
    <w:rsid w:val="00395651"/>
    <w:rsid w:val="003C3FC0"/>
    <w:rsid w:val="003C419D"/>
    <w:rsid w:val="003F1863"/>
    <w:rsid w:val="003F197B"/>
    <w:rsid w:val="004122F0"/>
    <w:rsid w:val="00414F37"/>
    <w:rsid w:val="004179AA"/>
    <w:rsid w:val="00422E33"/>
    <w:rsid w:val="00422FAA"/>
    <w:rsid w:val="004237CD"/>
    <w:rsid w:val="0044379B"/>
    <w:rsid w:val="0045418F"/>
    <w:rsid w:val="00464B23"/>
    <w:rsid w:val="0046745A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37F00"/>
    <w:rsid w:val="00572127"/>
    <w:rsid w:val="005943F9"/>
    <w:rsid w:val="00594F5C"/>
    <w:rsid w:val="005A59C6"/>
    <w:rsid w:val="005B00AE"/>
    <w:rsid w:val="005B0A1D"/>
    <w:rsid w:val="005B0B73"/>
    <w:rsid w:val="005C39BA"/>
    <w:rsid w:val="005D0EBE"/>
    <w:rsid w:val="0066538D"/>
    <w:rsid w:val="00666E48"/>
    <w:rsid w:val="006920B7"/>
    <w:rsid w:val="006B2784"/>
    <w:rsid w:val="006C3818"/>
    <w:rsid w:val="006C44F0"/>
    <w:rsid w:val="006D398C"/>
    <w:rsid w:val="00762033"/>
    <w:rsid w:val="00775C35"/>
    <w:rsid w:val="007867A4"/>
    <w:rsid w:val="007F37A6"/>
    <w:rsid w:val="00816BB1"/>
    <w:rsid w:val="00834943"/>
    <w:rsid w:val="0083779A"/>
    <w:rsid w:val="0084670B"/>
    <w:rsid w:val="0085450A"/>
    <w:rsid w:val="0087003E"/>
    <w:rsid w:val="008829D6"/>
    <w:rsid w:val="008B072F"/>
    <w:rsid w:val="008D11DA"/>
    <w:rsid w:val="008F5893"/>
    <w:rsid w:val="00904D93"/>
    <w:rsid w:val="0093532F"/>
    <w:rsid w:val="00981709"/>
    <w:rsid w:val="009969D4"/>
    <w:rsid w:val="009C6076"/>
    <w:rsid w:val="009C7B12"/>
    <w:rsid w:val="009D03E4"/>
    <w:rsid w:val="00A05352"/>
    <w:rsid w:val="00A133C9"/>
    <w:rsid w:val="00A6279B"/>
    <w:rsid w:val="00A72ECA"/>
    <w:rsid w:val="00A75B5C"/>
    <w:rsid w:val="00AC0E74"/>
    <w:rsid w:val="00B05B19"/>
    <w:rsid w:val="00B13DD6"/>
    <w:rsid w:val="00B1473B"/>
    <w:rsid w:val="00B328BA"/>
    <w:rsid w:val="00B32BCE"/>
    <w:rsid w:val="00B36FEE"/>
    <w:rsid w:val="00B45C21"/>
    <w:rsid w:val="00B82C8B"/>
    <w:rsid w:val="00B97B28"/>
    <w:rsid w:val="00BC2889"/>
    <w:rsid w:val="00BE1F75"/>
    <w:rsid w:val="00BE269E"/>
    <w:rsid w:val="00C41700"/>
    <w:rsid w:val="00C53F0C"/>
    <w:rsid w:val="00C93043"/>
    <w:rsid w:val="00CA4C55"/>
    <w:rsid w:val="00CA4D55"/>
    <w:rsid w:val="00CC6BAF"/>
    <w:rsid w:val="00CE5E82"/>
    <w:rsid w:val="00D26D15"/>
    <w:rsid w:val="00D55011"/>
    <w:rsid w:val="00D729F5"/>
    <w:rsid w:val="00D9116F"/>
    <w:rsid w:val="00DB1997"/>
    <w:rsid w:val="00DB7FA5"/>
    <w:rsid w:val="00DE0B5B"/>
    <w:rsid w:val="00DF6872"/>
    <w:rsid w:val="00DF6BA4"/>
    <w:rsid w:val="00E46580"/>
    <w:rsid w:val="00E85291"/>
    <w:rsid w:val="00E926C4"/>
    <w:rsid w:val="00EA512D"/>
    <w:rsid w:val="00ED5957"/>
    <w:rsid w:val="00ED7136"/>
    <w:rsid w:val="00F00B20"/>
    <w:rsid w:val="00F1127B"/>
    <w:rsid w:val="00F24D98"/>
    <w:rsid w:val="00F54E4E"/>
    <w:rsid w:val="00F6785B"/>
    <w:rsid w:val="00F76A4C"/>
    <w:rsid w:val="00F86C06"/>
    <w:rsid w:val="00F9569F"/>
    <w:rsid w:val="00FB699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537F00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D8323-02C8-4225-8870-D483CF7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1184</Words>
  <Characters>6514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cp:lastPrinted>2024-02-12T20:51:00Z</cp:lastPrinted>
  <dcterms:created xsi:type="dcterms:W3CDTF">2024-02-13T06:17:00Z</dcterms:created>
  <dcterms:modified xsi:type="dcterms:W3CDTF">2024-02-13T07:41:00Z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2024-02-12T18:13:46Z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38bc4e37-d212-4b19-8c51-9b643637335b</vt:lpwstr>
  </property>
  <property fmtid="{D5CDD505-2E9C-101B-9397-08002B2CF9AE}" pid="8" name="MSIP_Label_09e9a456-2778-4ca9-be06-1190b1e1118a_ContentBits">
    <vt:lpwstr>0</vt:lpwstr>
  </property>
</Properties>
</file>