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215EB6" w:rsidRDefault="00C2372A" w:rsidP="00FA5F7A">
          <w:pPr>
            <w:ind w:right="1394"/>
            <w:rPr>
              <w:rFonts w:ascii="Arial" w:hAnsi="Arial" w:cs="Arial"/>
              <w:lang w:val="es-ES"/>
            </w:rPr>
          </w:pPr>
        </w:p>
      </w:sdtContent>
    </w:sdt>
    <w:p w14:paraId="60882C7D" w14:textId="01B2B268"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Madrid, </w:t>
      </w:r>
      <w:r w:rsidR="003A38EF" w:rsidRPr="003A38EF">
        <w:rPr>
          <w:rFonts w:ascii="Arial" w:hAnsi="Arial" w:cs="Arial"/>
          <w:sz w:val="20"/>
          <w:szCs w:val="20"/>
          <w:lang w:val="es-ES"/>
        </w:rPr>
        <w:t>21</w:t>
      </w:r>
      <w:r w:rsidRPr="003A38EF">
        <w:rPr>
          <w:rFonts w:ascii="Arial" w:hAnsi="Arial" w:cs="Arial"/>
          <w:sz w:val="20"/>
          <w:szCs w:val="20"/>
          <w:lang w:val="es-ES"/>
        </w:rPr>
        <w:t xml:space="preserve"> de </w:t>
      </w:r>
      <w:r w:rsidR="000640B0">
        <w:rPr>
          <w:rFonts w:ascii="Arial" w:hAnsi="Arial" w:cs="Arial"/>
          <w:sz w:val="20"/>
          <w:szCs w:val="20"/>
          <w:lang w:val="es-ES"/>
        </w:rPr>
        <w:t>mayo</w:t>
      </w:r>
      <w:r w:rsidRPr="00215EB6">
        <w:rPr>
          <w:rFonts w:ascii="Arial" w:hAnsi="Arial" w:cs="Arial"/>
          <w:sz w:val="20"/>
          <w:szCs w:val="20"/>
          <w:lang w:val="es-ES"/>
        </w:rPr>
        <w:t>, 202</w:t>
      </w:r>
      <w:r w:rsidR="004C76CE">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3C2F9ABF" w:rsidR="00FA5F7A" w:rsidRPr="00215EB6" w:rsidRDefault="00B47797" w:rsidP="00FA5F7A">
      <w:pPr>
        <w:ind w:right="1394"/>
        <w:jc w:val="center"/>
        <w:rPr>
          <w:rFonts w:ascii="Arial" w:hAnsi="Arial" w:cs="Arial"/>
          <w:b/>
          <w:sz w:val="28"/>
          <w:szCs w:val="28"/>
          <w:lang w:val="es-ES"/>
        </w:rPr>
      </w:pPr>
      <w:r w:rsidRPr="00B47797">
        <w:rPr>
          <w:rFonts w:ascii="Arial" w:hAnsi="Arial" w:cs="Arial"/>
          <w:b/>
          <w:sz w:val="28"/>
          <w:szCs w:val="28"/>
          <w:lang w:val="es-ES"/>
        </w:rPr>
        <w:t xml:space="preserve">La Guía MICHELIN </w:t>
      </w:r>
      <w:r w:rsidR="00CF055F">
        <w:rPr>
          <w:rFonts w:ascii="Arial" w:hAnsi="Arial" w:cs="Arial"/>
          <w:b/>
          <w:sz w:val="28"/>
          <w:szCs w:val="28"/>
          <w:lang w:val="es-ES"/>
        </w:rPr>
        <w:t xml:space="preserve">Polonia se </w:t>
      </w:r>
      <w:r w:rsidR="00875106">
        <w:rPr>
          <w:rFonts w:ascii="Arial" w:hAnsi="Arial" w:cs="Arial"/>
          <w:b/>
          <w:sz w:val="28"/>
          <w:szCs w:val="28"/>
          <w:lang w:val="es-ES"/>
        </w:rPr>
        <w:t>amplía</w:t>
      </w:r>
      <w:r w:rsidR="00CF055F">
        <w:rPr>
          <w:rFonts w:ascii="Arial" w:hAnsi="Arial" w:cs="Arial"/>
          <w:b/>
          <w:sz w:val="28"/>
          <w:szCs w:val="28"/>
          <w:lang w:val="es-ES"/>
        </w:rPr>
        <w:t xml:space="preserve"> a la región de Pomerania</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3452AAD" w14:textId="5DEE59CD" w:rsidR="00CF055F" w:rsidRPr="00CF055F" w:rsidRDefault="00CF055F" w:rsidP="00024377">
      <w:pPr>
        <w:pStyle w:val="Prrafodelista"/>
        <w:numPr>
          <w:ilvl w:val="0"/>
          <w:numId w:val="1"/>
        </w:numPr>
        <w:ind w:right="1394"/>
        <w:rPr>
          <w:rFonts w:ascii="Arial" w:eastAsia="Calibri" w:hAnsi="Arial" w:cs="Arial"/>
          <w:lang w:val="es-ES" w:eastAsia="en-US"/>
        </w:rPr>
      </w:pPr>
      <w:r w:rsidRPr="00CF055F">
        <w:rPr>
          <w:rFonts w:ascii="Arial" w:eastAsia="Calibri" w:hAnsi="Arial" w:cs="Arial"/>
          <w:lang w:val="es-ES" w:eastAsia="en-US"/>
        </w:rPr>
        <w:t xml:space="preserve">La Guía MICHELIN incorpora Pomerania a su selección de restaurantes </w:t>
      </w:r>
      <w:r w:rsidR="00CC32A3">
        <w:rPr>
          <w:rFonts w:ascii="Arial" w:eastAsia="Calibri" w:hAnsi="Arial" w:cs="Arial"/>
          <w:lang w:val="es-ES" w:eastAsia="en-US"/>
        </w:rPr>
        <w:t>en Polonia</w:t>
      </w:r>
    </w:p>
    <w:p w14:paraId="6F845B68" w14:textId="1179F452" w:rsidR="004C76CE" w:rsidRDefault="00CF055F" w:rsidP="004C76CE">
      <w:pPr>
        <w:pStyle w:val="Prrafodelista"/>
        <w:numPr>
          <w:ilvl w:val="0"/>
          <w:numId w:val="1"/>
        </w:numPr>
        <w:ind w:right="1394"/>
        <w:jc w:val="both"/>
        <w:rPr>
          <w:rFonts w:ascii="Arial" w:eastAsiaTheme="majorEastAsia" w:hAnsi="Arial" w:cs="Arial"/>
          <w:lang w:val="es-ES"/>
        </w:rPr>
      </w:pPr>
      <w:r w:rsidRPr="00CF055F">
        <w:rPr>
          <w:rFonts w:ascii="Arial" w:eastAsiaTheme="majorEastAsia" w:hAnsi="Arial" w:cs="Arial"/>
          <w:lang w:val="es-ES"/>
        </w:rPr>
        <w:t xml:space="preserve">La región de Pomerania incluye las ciudades de </w:t>
      </w:r>
      <w:proofErr w:type="spellStart"/>
      <w:r w:rsidRPr="00CF055F">
        <w:rPr>
          <w:rFonts w:ascii="Arial" w:eastAsiaTheme="majorEastAsia" w:hAnsi="Arial" w:cs="Arial"/>
          <w:lang w:val="es-ES"/>
        </w:rPr>
        <w:t>Gdańsk</w:t>
      </w:r>
      <w:proofErr w:type="spellEnd"/>
      <w:r w:rsidRPr="00CF055F">
        <w:rPr>
          <w:rFonts w:ascii="Arial" w:eastAsiaTheme="majorEastAsia" w:hAnsi="Arial" w:cs="Arial"/>
          <w:lang w:val="es-ES"/>
        </w:rPr>
        <w:t xml:space="preserve">, Gdynia y </w:t>
      </w:r>
      <w:proofErr w:type="spellStart"/>
      <w:r w:rsidRPr="00CF055F">
        <w:rPr>
          <w:rFonts w:ascii="Arial" w:eastAsiaTheme="majorEastAsia" w:hAnsi="Arial" w:cs="Arial"/>
          <w:lang w:val="es-ES"/>
        </w:rPr>
        <w:t>Sopot</w:t>
      </w:r>
      <w:proofErr w:type="spellEnd"/>
    </w:p>
    <w:p w14:paraId="0E9EBAAB" w14:textId="2C4F0CF8" w:rsidR="00CF055F" w:rsidRPr="004C76CE" w:rsidRDefault="00024377" w:rsidP="004C76CE">
      <w:pPr>
        <w:pStyle w:val="Prrafodelista"/>
        <w:numPr>
          <w:ilvl w:val="0"/>
          <w:numId w:val="1"/>
        </w:numPr>
        <w:ind w:right="1394"/>
        <w:jc w:val="both"/>
        <w:rPr>
          <w:rFonts w:ascii="Arial" w:eastAsiaTheme="majorEastAsia" w:hAnsi="Arial" w:cs="Arial"/>
          <w:lang w:val="es-ES"/>
        </w:rPr>
      </w:pPr>
      <w:r w:rsidRPr="00024377">
        <w:rPr>
          <w:rFonts w:ascii="Arial" w:eastAsiaTheme="majorEastAsia" w:hAnsi="Arial" w:cs="Arial"/>
          <w:lang w:val="es-ES"/>
        </w:rPr>
        <w:t>Est</w:t>
      </w:r>
      <w:r w:rsidR="00CC32A3">
        <w:rPr>
          <w:rFonts w:ascii="Arial" w:eastAsiaTheme="majorEastAsia" w:hAnsi="Arial" w:cs="Arial"/>
          <w:lang w:val="es-ES"/>
        </w:rPr>
        <w:t>os destinos s</w:t>
      </w:r>
      <w:r w:rsidRPr="00024377">
        <w:rPr>
          <w:rFonts w:ascii="Arial" w:eastAsiaTheme="majorEastAsia" w:hAnsi="Arial" w:cs="Arial"/>
          <w:lang w:val="es-ES"/>
        </w:rPr>
        <w:t>e une</w:t>
      </w:r>
      <w:r w:rsidR="00CC32A3">
        <w:rPr>
          <w:rFonts w:ascii="Arial" w:eastAsiaTheme="majorEastAsia" w:hAnsi="Arial" w:cs="Arial"/>
          <w:lang w:val="es-ES"/>
        </w:rPr>
        <w:t>n</w:t>
      </w:r>
      <w:r w:rsidRPr="00024377">
        <w:rPr>
          <w:rFonts w:ascii="Arial" w:eastAsiaTheme="majorEastAsia" w:hAnsi="Arial" w:cs="Arial"/>
          <w:lang w:val="es-ES"/>
        </w:rPr>
        <w:t xml:space="preserve"> a l</w:t>
      </w:r>
      <w:r w:rsidR="00CC32A3">
        <w:rPr>
          <w:rFonts w:ascii="Arial" w:eastAsiaTheme="majorEastAsia" w:hAnsi="Arial" w:cs="Arial"/>
          <w:lang w:val="es-ES"/>
        </w:rPr>
        <w:t>o</w:t>
      </w:r>
      <w:r w:rsidRPr="00024377">
        <w:rPr>
          <w:rFonts w:ascii="Arial" w:eastAsiaTheme="majorEastAsia" w:hAnsi="Arial" w:cs="Arial"/>
          <w:lang w:val="es-ES"/>
        </w:rPr>
        <w:t>s de Cracovia, Poznań y Varsovia, ya cubiert</w:t>
      </w:r>
      <w:r w:rsidR="00CC32A3">
        <w:rPr>
          <w:rFonts w:ascii="Arial" w:eastAsiaTheme="majorEastAsia" w:hAnsi="Arial" w:cs="Arial"/>
          <w:lang w:val="es-ES"/>
        </w:rPr>
        <w:t>o</w:t>
      </w:r>
      <w:r w:rsidRPr="00024377">
        <w:rPr>
          <w:rFonts w:ascii="Arial" w:eastAsiaTheme="majorEastAsia" w:hAnsi="Arial" w:cs="Arial"/>
          <w:lang w:val="es-ES"/>
        </w:rPr>
        <w:t>s por la Guía MICHELIN</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352E7062" w14:textId="1BF7E777" w:rsidR="00B47797" w:rsidRDefault="00024377" w:rsidP="004C76CE">
      <w:pPr>
        <w:spacing w:line="276" w:lineRule="auto"/>
        <w:ind w:right="1394"/>
        <w:jc w:val="both"/>
        <w:rPr>
          <w:rFonts w:ascii="Arial" w:hAnsi="Arial" w:cs="Arial"/>
          <w:sz w:val="20"/>
          <w:szCs w:val="20"/>
          <w:lang w:val="es-ES"/>
        </w:rPr>
      </w:pPr>
      <w:r w:rsidRPr="00024377">
        <w:rPr>
          <w:rFonts w:ascii="Arial" w:hAnsi="Arial" w:cs="Arial"/>
          <w:sz w:val="20"/>
          <w:szCs w:val="20"/>
          <w:lang w:val="es-ES"/>
        </w:rPr>
        <w:t xml:space="preserve">La Guía MICHELIN ha anunciado la incorporación de Pomerania a su selección de Polonia. La región alberga las ciudades de </w:t>
      </w:r>
      <w:proofErr w:type="spellStart"/>
      <w:r w:rsidRPr="00024377">
        <w:rPr>
          <w:rFonts w:ascii="Arial" w:hAnsi="Arial" w:cs="Arial"/>
          <w:sz w:val="20"/>
          <w:szCs w:val="20"/>
          <w:lang w:val="es-ES"/>
        </w:rPr>
        <w:t>Gdańsk</w:t>
      </w:r>
      <w:proofErr w:type="spellEnd"/>
      <w:r w:rsidRPr="00024377">
        <w:rPr>
          <w:rFonts w:ascii="Arial" w:hAnsi="Arial" w:cs="Arial"/>
          <w:sz w:val="20"/>
          <w:szCs w:val="20"/>
          <w:lang w:val="es-ES"/>
        </w:rPr>
        <w:t xml:space="preserve">, Gdynia y </w:t>
      </w:r>
      <w:proofErr w:type="spellStart"/>
      <w:r w:rsidRPr="00024377">
        <w:rPr>
          <w:rFonts w:ascii="Arial" w:hAnsi="Arial" w:cs="Arial"/>
          <w:sz w:val="20"/>
          <w:szCs w:val="20"/>
          <w:lang w:val="es-ES"/>
        </w:rPr>
        <w:t>Sopot</w:t>
      </w:r>
      <w:proofErr w:type="spellEnd"/>
      <w:r w:rsidRPr="00024377">
        <w:rPr>
          <w:rFonts w:ascii="Arial" w:hAnsi="Arial" w:cs="Arial"/>
          <w:sz w:val="20"/>
          <w:szCs w:val="20"/>
          <w:lang w:val="es-ES"/>
        </w:rPr>
        <w:t>. La Guía ya cubría Cracovia (</w:t>
      </w:r>
      <w:proofErr w:type="spellStart"/>
      <w:r>
        <w:rPr>
          <w:rFonts w:ascii="Arial" w:hAnsi="Arial" w:cs="Arial"/>
          <w:sz w:val="20"/>
          <w:szCs w:val="20"/>
          <w:lang w:val="es-ES"/>
        </w:rPr>
        <w:t>voivodato</w:t>
      </w:r>
      <w:proofErr w:type="spellEnd"/>
      <w:r w:rsidRPr="00024377">
        <w:rPr>
          <w:rFonts w:ascii="Arial" w:hAnsi="Arial" w:cs="Arial"/>
          <w:sz w:val="20"/>
          <w:szCs w:val="20"/>
          <w:lang w:val="es-ES"/>
        </w:rPr>
        <w:t xml:space="preserve"> de </w:t>
      </w:r>
      <w:r>
        <w:rPr>
          <w:rFonts w:ascii="Arial" w:hAnsi="Arial" w:cs="Arial"/>
          <w:sz w:val="20"/>
          <w:szCs w:val="20"/>
          <w:lang w:val="es-ES"/>
        </w:rPr>
        <w:t>Pequeña Polonia</w:t>
      </w:r>
      <w:r w:rsidRPr="00024377">
        <w:rPr>
          <w:rFonts w:ascii="Arial" w:hAnsi="Arial" w:cs="Arial"/>
          <w:sz w:val="20"/>
          <w:szCs w:val="20"/>
          <w:lang w:val="es-ES"/>
        </w:rPr>
        <w:t>), Varsovia (</w:t>
      </w:r>
      <w:proofErr w:type="spellStart"/>
      <w:r>
        <w:rPr>
          <w:rFonts w:ascii="Arial" w:hAnsi="Arial" w:cs="Arial"/>
          <w:sz w:val="20"/>
          <w:szCs w:val="20"/>
          <w:lang w:val="es-ES"/>
        </w:rPr>
        <w:t>voivodato</w:t>
      </w:r>
      <w:proofErr w:type="spellEnd"/>
      <w:r>
        <w:rPr>
          <w:rFonts w:ascii="Arial" w:hAnsi="Arial" w:cs="Arial"/>
          <w:sz w:val="20"/>
          <w:szCs w:val="20"/>
          <w:lang w:val="es-ES"/>
        </w:rPr>
        <w:t xml:space="preserve"> de</w:t>
      </w:r>
      <w:r w:rsidRPr="00024377">
        <w:rPr>
          <w:rFonts w:ascii="Arial" w:hAnsi="Arial" w:cs="Arial"/>
          <w:sz w:val="20"/>
          <w:szCs w:val="20"/>
          <w:lang w:val="es-ES"/>
        </w:rPr>
        <w:t xml:space="preserve"> </w:t>
      </w:r>
      <w:proofErr w:type="spellStart"/>
      <w:r w:rsidRPr="00024377">
        <w:rPr>
          <w:rFonts w:ascii="Arial" w:hAnsi="Arial" w:cs="Arial"/>
          <w:sz w:val="20"/>
          <w:szCs w:val="20"/>
          <w:lang w:val="es-ES"/>
        </w:rPr>
        <w:t>Mazovie</w:t>
      </w:r>
      <w:proofErr w:type="spellEnd"/>
      <w:r w:rsidRPr="00024377">
        <w:rPr>
          <w:rFonts w:ascii="Arial" w:hAnsi="Arial" w:cs="Arial"/>
          <w:sz w:val="20"/>
          <w:szCs w:val="20"/>
          <w:lang w:val="es-ES"/>
        </w:rPr>
        <w:t>) y Poznań (</w:t>
      </w:r>
      <w:proofErr w:type="spellStart"/>
      <w:r>
        <w:rPr>
          <w:rFonts w:ascii="Arial" w:hAnsi="Arial" w:cs="Arial"/>
          <w:sz w:val="20"/>
          <w:szCs w:val="20"/>
          <w:lang w:val="es-ES"/>
        </w:rPr>
        <w:t>voivodato</w:t>
      </w:r>
      <w:proofErr w:type="spellEnd"/>
      <w:r>
        <w:rPr>
          <w:rFonts w:ascii="Arial" w:hAnsi="Arial" w:cs="Arial"/>
          <w:sz w:val="20"/>
          <w:szCs w:val="20"/>
          <w:lang w:val="es-ES"/>
        </w:rPr>
        <w:t xml:space="preserve"> de Gran Polonia</w:t>
      </w:r>
      <w:r w:rsidRPr="00024377">
        <w:rPr>
          <w:rFonts w:ascii="Arial" w:hAnsi="Arial" w:cs="Arial"/>
          <w:sz w:val="20"/>
          <w:szCs w:val="20"/>
          <w:lang w:val="es-ES"/>
        </w:rPr>
        <w:t>). Esta selección ampliada se dará a conocer el 20 de junio.</w:t>
      </w:r>
    </w:p>
    <w:p w14:paraId="7011EA7E" w14:textId="77777777" w:rsidR="00024377" w:rsidRDefault="00024377" w:rsidP="004C76CE">
      <w:pPr>
        <w:spacing w:line="276" w:lineRule="auto"/>
        <w:ind w:right="1394"/>
        <w:jc w:val="both"/>
        <w:rPr>
          <w:rFonts w:ascii="Arial" w:hAnsi="Arial" w:cs="Arial"/>
          <w:sz w:val="20"/>
          <w:szCs w:val="20"/>
          <w:lang w:val="es-ES"/>
        </w:rPr>
      </w:pPr>
    </w:p>
    <w:p w14:paraId="255F27CC" w14:textId="7C43E091" w:rsidR="00B47797" w:rsidRDefault="00024377" w:rsidP="004C76CE">
      <w:pPr>
        <w:spacing w:line="276" w:lineRule="auto"/>
        <w:ind w:right="1394"/>
        <w:jc w:val="both"/>
        <w:rPr>
          <w:rFonts w:ascii="Arial" w:hAnsi="Arial" w:cs="Arial"/>
          <w:sz w:val="20"/>
          <w:szCs w:val="20"/>
          <w:lang w:val="es-ES"/>
        </w:rPr>
      </w:pPr>
      <w:r w:rsidRPr="00024377">
        <w:rPr>
          <w:rFonts w:ascii="Arial" w:hAnsi="Arial" w:cs="Arial"/>
          <w:sz w:val="20"/>
          <w:szCs w:val="20"/>
          <w:lang w:val="es-ES"/>
        </w:rPr>
        <w:t>Durante su visita a la región, los inspectores de la Guía MICHELIN pudieron descubrir un panorama culinario variado, impulsado por las especialidades regionales</w:t>
      </w:r>
      <w:r w:rsidR="00CC32A3">
        <w:rPr>
          <w:rFonts w:ascii="Arial" w:hAnsi="Arial" w:cs="Arial"/>
          <w:sz w:val="20"/>
          <w:szCs w:val="20"/>
          <w:lang w:val="es-ES"/>
        </w:rPr>
        <w:t xml:space="preserve"> y</w:t>
      </w:r>
      <w:r w:rsidRPr="00024377">
        <w:rPr>
          <w:rFonts w:ascii="Arial" w:hAnsi="Arial" w:cs="Arial"/>
          <w:sz w:val="20"/>
          <w:szCs w:val="20"/>
          <w:lang w:val="es-ES"/>
        </w:rPr>
        <w:t xml:space="preserve"> la cocina polaca moderna, pero también numerosas propuestas con influencias globales gracias a </w:t>
      </w:r>
      <w:proofErr w:type="spellStart"/>
      <w:r w:rsidRPr="00024377">
        <w:rPr>
          <w:rFonts w:ascii="Arial" w:hAnsi="Arial" w:cs="Arial"/>
          <w:sz w:val="20"/>
          <w:szCs w:val="20"/>
          <w:lang w:val="es-ES"/>
        </w:rPr>
        <w:t>Gdańsk</w:t>
      </w:r>
      <w:proofErr w:type="spellEnd"/>
      <w:r w:rsidRPr="00024377">
        <w:rPr>
          <w:rFonts w:ascii="Arial" w:hAnsi="Arial" w:cs="Arial"/>
          <w:sz w:val="20"/>
          <w:szCs w:val="20"/>
          <w:lang w:val="es-ES"/>
        </w:rPr>
        <w:t>, la mayor ciudad portuaria del país. La posición privilegiada de Pomerania, en la costa septentrional de Polonia, también ofreció al equipo de selección la oportunidad de degustar pescados y mariscos frescos típicos del mar Báltico.</w:t>
      </w:r>
    </w:p>
    <w:p w14:paraId="69F38361" w14:textId="1CA8EF08" w:rsidR="00024377" w:rsidRDefault="00024377" w:rsidP="004C76CE">
      <w:pPr>
        <w:spacing w:line="276" w:lineRule="auto"/>
        <w:ind w:right="1394"/>
        <w:jc w:val="both"/>
        <w:rPr>
          <w:rFonts w:ascii="Arial" w:hAnsi="Arial" w:cs="Arial"/>
          <w:sz w:val="20"/>
          <w:szCs w:val="20"/>
          <w:lang w:val="es-ES"/>
        </w:rPr>
      </w:pPr>
    </w:p>
    <w:p w14:paraId="17E6C779" w14:textId="46057D17" w:rsidR="00DA3B36" w:rsidRDefault="00DA3B36" w:rsidP="004C76CE">
      <w:pPr>
        <w:spacing w:line="276" w:lineRule="auto"/>
        <w:ind w:right="1394"/>
        <w:jc w:val="both"/>
        <w:rPr>
          <w:rFonts w:ascii="Arial" w:hAnsi="Arial" w:cs="Arial"/>
          <w:sz w:val="20"/>
          <w:szCs w:val="20"/>
          <w:lang w:val="es-ES"/>
        </w:rPr>
      </w:pPr>
      <w:r w:rsidRPr="00DA3B36">
        <w:rPr>
          <w:rFonts w:ascii="Arial" w:hAnsi="Arial" w:cs="Arial"/>
          <w:i/>
          <w:iCs/>
          <w:sz w:val="20"/>
          <w:szCs w:val="20"/>
          <w:lang w:val="es-ES"/>
        </w:rPr>
        <w:t>"Estamos encantados de ampliar la selección de la Guía MICHELIN a Pomerania, premiando así a más chefs de talento con perfiles variados en toda Polonia. Esta nueva región se une a las selecciones de restaurantes de Cracovia, Poznań y Varsovia, que ya representan la excelencia del panorama culinario polaco"</w:t>
      </w:r>
      <w:r w:rsidRPr="00DA3B36">
        <w:rPr>
          <w:rFonts w:ascii="Arial" w:hAnsi="Arial" w:cs="Arial"/>
          <w:sz w:val="20"/>
          <w:szCs w:val="20"/>
          <w:lang w:val="es-ES"/>
        </w:rPr>
        <w:t xml:space="preserve">, comentó </w:t>
      </w:r>
      <w:proofErr w:type="spellStart"/>
      <w:r w:rsidRPr="00DA3B36">
        <w:rPr>
          <w:rFonts w:ascii="Arial" w:hAnsi="Arial" w:cs="Arial"/>
          <w:sz w:val="20"/>
          <w:szCs w:val="20"/>
          <w:lang w:val="es-ES"/>
        </w:rPr>
        <w:t>Gwendal</w:t>
      </w:r>
      <w:proofErr w:type="spellEnd"/>
      <w:r w:rsidRPr="00DA3B36">
        <w:rPr>
          <w:rFonts w:ascii="Arial" w:hAnsi="Arial" w:cs="Arial"/>
          <w:sz w:val="20"/>
          <w:szCs w:val="20"/>
          <w:lang w:val="es-ES"/>
        </w:rPr>
        <w:t xml:space="preserve"> </w:t>
      </w:r>
      <w:proofErr w:type="spellStart"/>
      <w:r w:rsidRPr="00DA3B36">
        <w:rPr>
          <w:rFonts w:ascii="Arial" w:hAnsi="Arial" w:cs="Arial"/>
          <w:sz w:val="20"/>
          <w:szCs w:val="20"/>
          <w:lang w:val="es-ES"/>
        </w:rPr>
        <w:t>Poullennec</w:t>
      </w:r>
      <w:proofErr w:type="spellEnd"/>
      <w:r w:rsidRPr="00DA3B36">
        <w:rPr>
          <w:rFonts w:ascii="Arial" w:hAnsi="Arial" w:cs="Arial"/>
          <w:sz w:val="20"/>
          <w:szCs w:val="20"/>
          <w:lang w:val="es-ES"/>
        </w:rPr>
        <w:t xml:space="preserve">, </w:t>
      </w:r>
      <w:proofErr w:type="gramStart"/>
      <w:r w:rsidRPr="00DA3B36">
        <w:rPr>
          <w:rFonts w:ascii="Arial" w:hAnsi="Arial" w:cs="Arial"/>
          <w:sz w:val="20"/>
          <w:szCs w:val="20"/>
          <w:lang w:val="es-ES"/>
        </w:rPr>
        <w:t>Director</w:t>
      </w:r>
      <w:proofErr w:type="gramEnd"/>
      <w:r w:rsidRPr="00DA3B36">
        <w:rPr>
          <w:rFonts w:ascii="Arial" w:hAnsi="Arial" w:cs="Arial"/>
          <w:sz w:val="20"/>
          <w:szCs w:val="20"/>
          <w:lang w:val="es-ES"/>
        </w:rPr>
        <w:t xml:space="preserve"> Internacional de las Guías MICHELIN. </w:t>
      </w:r>
      <w:r w:rsidRPr="00DA3B36">
        <w:rPr>
          <w:rFonts w:ascii="Arial" w:hAnsi="Arial" w:cs="Arial"/>
          <w:i/>
          <w:iCs/>
          <w:sz w:val="20"/>
          <w:szCs w:val="20"/>
          <w:lang w:val="es-ES"/>
        </w:rPr>
        <w:t xml:space="preserve">"Al explorar esta magnífica región, </w:t>
      </w:r>
      <w:r w:rsidR="00CC32A3">
        <w:rPr>
          <w:rFonts w:ascii="Arial" w:hAnsi="Arial" w:cs="Arial"/>
          <w:i/>
          <w:iCs/>
          <w:sz w:val="20"/>
          <w:szCs w:val="20"/>
          <w:lang w:val="es-ES"/>
        </w:rPr>
        <w:t xml:space="preserve">el equipo de inspectores </w:t>
      </w:r>
      <w:r w:rsidRPr="00DA3B36">
        <w:rPr>
          <w:rFonts w:ascii="Arial" w:hAnsi="Arial" w:cs="Arial"/>
          <w:i/>
          <w:iCs/>
          <w:sz w:val="20"/>
          <w:szCs w:val="20"/>
          <w:lang w:val="es-ES"/>
        </w:rPr>
        <w:t xml:space="preserve">se centró especialmente en </w:t>
      </w:r>
      <w:proofErr w:type="spellStart"/>
      <w:r w:rsidRPr="00DA3B36">
        <w:rPr>
          <w:rFonts w:ascii="Arial" w:hAnsi="Arial" w:cs="Arial"/>
          <w:i/>
          <w:iCs/>
          <w:sz w:val="20"/>
          <w:szCs w:val="20"/>
          <w:lang w:val="es-ES"/>
        </w:rPr>
        <w:t>Gdańsk</w:t>
      </w:r>
      <w:proofErr w:type="spellEnd"/>
      <w:r w:rsidRPr="00DA3B36">
        <w:rPr>
          <w:rFonts w:ascii="Arial" w:hAnsi="Arial" w:cs="Arial"/>
          <w:i/>
          <w:iCs/>
          <w:sz w:val="20"/>
          <w:szCs w:val="20"/>
          <w:lang w:val="es-ES"/>
        </w:rPr>
        <w:t xml:space="preserve"> y su soberbio casco antiguo, donde la arquitectura tradicional se codea con los edificios modernos que bordean los muelles del río </w:t>
      </w:r>
      <w:proofErr w:type="spellStart"/>
      <w:r w:rsidRPr="00DA3B36">
        <w:rPr>
          <w:rFonts w:ascii="Arial" w:hAnsi="Arial" w:cs="Arial"/>
          <w:i/>
          <w:iCs/>
          <w:sz w:val="20"/>
          <w:szCs w:val="20"/>
          <w:lang w:val="es-ES"/>
        </w:rPr>
        <w:t>Motlawa</w:t>
      </w:r>
      <w:proofErr w:type="spellEnd"/>
      <w:r w:rsidRPr="00DA3B36">
        <w:rPr>
          <w:rFonts w:ascii="Arial" w:hAnsi="Arial" w:cs="Arial"/>
          <w:i/>
          <w:iCs/>
          <w:sz w:val="20"/>
          <w:szCs w:val="20"/>
          <w:lang w:val="es-ES"/>
        </w:rPr>
        <w:t xml:space="preserve">. También descubrieron las ciudades costeras de Gdynia y </w:t>
      </w:r>
      <w:proofErr w:type="spellStart"/>
      <w:r w:rsidRPr="00DA3B36">
        <w:rPr>
          <w:rFonts w:ascii="Arial" w:hAnsi="Arial" w:cs="Arial"/>
          <w:i/>
          <w:iCs/>
          <w:sz w:val="20"/>
          <w:szCs w:val="20"/>
          <w:lang w:val="es-ES"/>
        </w:rPr>
        <w:t>Sopot</w:t>
      </w:r>
      <w:proofErr w:type="spellEnd"/>
      <w:r w:rsidRPr="00DA3B36">
        <w:rPr>
          <w:rFonts w:ascii="Arial" w:hAnsi="Arial" w:cs="Arial"/>
          <w:i/>
          <w:iCs/>
          <w:sz w:val="20"/>
          <w:szCs w:val="20"/>
          <w:lang w:val="es-ES"/>
        </w:rPr>
        <w:t xml:space="preserve"> y tuvieron el placer de explorar la verde campiña de los alrededores. La oferta culinaria del país sigue floreciendo y promete grandes descubrimientos a gourmets y viajeros de todo el mundo"</w:t>
      </w:r>
      <w:r w:rsidRPr="00DA3B36">
        <w:rPr>
          <w:rFonts w:ascii="Arial" w:hAnsi="Arial" w:cs="Arial"/>
          <w:sz w:val="20"/>
          <w:szCs w:val="20"/>
          <w:lang w:val="es-ES"/>
        </w:rPr>
        <w:t>.</w:t>
      </w:r>
    </w:p>
    <w:p w14:paraId="45032251" w14:textId="77777777" w:rsidR="00DA3B36" w:rsidRDefault="00DA3B36" w:rsidP="004C76CE">
      <w:pPr>
        <w:spacing w:line="276" w:lineRule="auto"/>
        <w:ind w:right="1394"/>
        <w:jc w:val="both"/>
        <w:rPr>
          <w:rFonts w:ascii="Arial" w:hAnsi="Arial" w:cs="Arial"/>
          <w:sz w:val="20"/>
          <w:szCs w:val="20"/>
          <w:lang w:val="es-ES"/>
        </w:rPr>
      </w:pPr>
    </w:p>
    <w:p w14:paraId="2AF84C2F" w14:textId="65CEE63F" w:rsidR="00B47797" w:rsidRDefault="00DA3B36" w:rsidP="004C76CE">
      <w:pPr>
        <w:spacing w:line="276" w:lineRule="auto"/>
        <w:ind w:right="1394"/>
        <w:jc w:val="both"/>
        <w:rPr>
          <w:rFonts w:ascii="Arial" w:hAnsi="Arial" w:cs="Arial"/>
          <w:sz w:val="20"/>
          <w:szCs w:val="20"/>
          <w:lang w:val="es-ES"/>
        </w:rPr>
      </w:pPr>
      <w:r w:rsidRPr="00DA3B36">
        <w:rPr>
          <w:rFonts w:ascii="Arial" w:hAnsi="Arial" w:cs="Arial"/>
          <w:sz w:val="20"/>
          <w:szCs w:val="20"/>
          <w:lang w:val="es-ES"/>
        </w:rPr>
        <w:t>La Guía MICHELIN supervisa durante todo el año el desarrollo de los destinos culinarios de todo el mundo. Michelin colabora con los organismos de gestión locales o las oficinas de turismo para promover la industria turística de cada destino. Sin embargo, el proceso de selección de la Guía MICHELIN sigue siendo totalmente independiente. Cada selección está determinada en su totalidad por inspectores anónimos, y la Guía MICHELIN colabora con la Oficina Nacional de Turismo de Polonia exclusivamente para actividades de marketing y promoción.</w:t>
      </w:r>
    </w:p>
    <w:p w14:paraId="4D63FE57" w14:textId="6314AE06" w:rsidR="00DA3B36" w:rsidRDefault="00DA3B36" w:rsidP="004C76CE">
      <w:pPr>
        <w:spacing w:line="276" w:lineRule="auto"/>
        <w:ind w:right="1394"/>
        <w:jc w:val="both"/>
        <w:rPr>
          <w:rFonts w:ascii="Arial" w:hAnsi="Arial" w:cs="Arial"/>
          <w:sz w:val="20"/>
          <w:szCs w:val="20"/>
          <w:lang w:val="es-ES"/>
        </w:rPr>
      </w:pPr>
    </w:p>
    <w:p w14:paraId="6131CFB5" w14:textId="71E7179A" w:rsidR="00297FD8" w:rsidRDefault="00DA3B36" w:rsidP="004C76CE">
      <w:pPr>
        <w:spacing w:line="276" w:lineRule="auto"/>
        <w:ind w:right="1394"/>
        <w:jc w:val="both"/>
        <w:rPr>
          <w:rFonts w:ascii="Arial" w:hAnsi="Arial" w:cs="Arial"/>
          <w:i/>
          <w:iCs/>
          <w:sz w:val="20"/>
          <w:szCs w:val="20"/>
          <w:lang w:val="es-ES"/>
        </w:rPr>
      </w:pPr>
      <w:r w:rsidRPr="00DA3B36">
        <w:rPr>
          <w:rFonts w:ascii="Arial" w:hAnsi="Arial" w:cs="Arial"/>
          <w:i/>
          <w:iCs/>
          <w:sz w:val="20"/>
          <w:szCs w:val="20"/>
          <w:lang w:val="es-ES"/>
        </w:rPr>
        <w:t xml:space="preserve">"Con gran alegría y satisfacción he </w:t>
      </w:r>
      <w:r w:rsidR="00CC32A3">
        <w:rPr>
          <w:rFonts w:ascii="Arial" w:hAnsi="Arial" w:cs="Arial"/>
          <w:i/>
          <w:iCs/>
          <w:sz w:val="20"/>
          <w:szCs w:val="20"/>
          <w:lang w:val="es-ES"/>
        </w:rPr>
        <w:t xml:space="preserve">descubierto </w:t>
      </w:r>
      <w:r w:rsidRPr="00DA3B36">
        <w:rPr>
          <w:rFonts w:ascii="Arial" w:hAnsi="Arial" w:cs="Arial"/>
          <w:i/>
          <w:iCs/>
          <w:sz w:val="20"/>
          <w:szCs w:val="20"/>
          <w:lang w:val="es-ES"/>
        </w:rPr>
        <w:t xml:space="preserve">que Pomerania, junto con </w:t>
      </w:r>
      <w:proofErr w:type="spellStart"/>
      <w:r w:rsidRPr="00DA3B36">
        <w:rPr>
          <w:rFonts w:ascii="Arial" w:hAnsi="Arial" w:cs="Arial"/>
          <w:i/>
          <w:iCs/>
          <w:sz w:val="20"/>
          <w:szCs w:val="20"/>
          <w:lang w:val="es-ES"/>
        </w:rPr>
        <w:t>Gdańsk</w:t>
      </w:r>
      <w:proofErr w:type="spellEnd"/>
      <w:r w:rsidRPr="00DA3B36">
        <w:rPr>
          <w:rFonts w:ascii="Arial" w:hAnsi="Arial" w:cs="Arial"/>
          <w:i/>
          <w:iCs/>
          <w:sz w:val="20"/>
          <w:szCs w:val="20"/>
          <w:lang w:val="es-ES"/>
        </w:rPr>
        <w:t>, se ha convertido en la cuarta región que ha captado la atención de los inspectores de la famosa Guía MICHELIN, uniéndose así al grupo de los destinos culinarios más atractivos del mundo. Polonia es famosa por su hospitalidad, y la cocina es una parte importante de nuestra cultura nacional. Me complace aún más que el alto nivel alcanzado por los sabores polacos haya sido apreciado hasta el punto de figurar en las recomendaciones de la prestigiosa Guía"</w:t>
      </w:r>
      <w:r w:rsidRPr="00DA3B36">
        <w:rPr>
          <w:rFonts w:ascii="Arial" w:hAnsi="Arial" w:cs="Arial"/>
          <w:sz w:val="20"/>
          <w:szCs w:val="20"/>
          <w:lang w:val="es-ES"/>
        </w:rPr>
        <w:t xml:space="preserve">, </w:t>
      </w:r>
      <w:r w:rsidR="00CC32A3">
        <w:rPr>
          <w:rFonts w:ascii="Arial" w:hAnsi="Arial" w:cs="Arial"/>
          <w:sz w:val="20"/>
          <w:szCs w:val="20"/>
          <w:lang w:val="es-ES"/>
        </w:rPr>
        <w:t>declaró</w:t>
      </w:r>
      <w:r w:rsidRPr="00DA3B36">
        <w:rPr>
          <w:rFonts w:ascii="Arial" w:hAnsi="Arial" w:cs="Arial"/>
          <w:sz w:val="20"/>
          <w:szCs w:val="20"/>
          <w:lang w:val="es-ES"/>
        </w:rPr>
        <w:t xml:space="preserve"> </w:t>
      </w:r>
      <w:proofErr w:type="spellStart"/>
      <w:r w:rsidRPr="00DA3B36">
        <w:rPr>
          <w:rFonts w:ascii="Arial" w:hAnsi="Arial" w:cs="Arial"/>
          <w:sz w:val="20"/>
          <w:szCs w:val="20"/>
          <w:lang w:val="es-ES"/>
        </w:rPr>
        <w:t>Rafał</w:t>
      </w:r>
      <w:proofErr w:type="spellEnd"/>
      <w:r w:rsidRPr="00DA3B36">
        <w:rPr>
          <w:rFonts w:ascii="Arial" w:hAnsi="Arial" w:cs="Arial"/>
          <w:sz w:val="20"/>
          <w:szCs w:val="20"/>
          <w:lang w:val="es-ES"/>
        </w:rPr>
        <w:t xml:space="preserve"> </w:t>
      </w:r>
      <w:proofErr w:type="spellStart"/>
      <w:r w:rsidRPr="00DA3B36">
        <w:rPr>
          <w:rFonts w:ascii="Arial" w:hAnsi="Arial" w:cs="Arial"/>
          <w:sz w:val="20"/>
          <w:szCs w:val="20"/>
          <w:lang w:val="es-ES"/>
        </w:rPr>
        <w:t>Szmytke</w:t>
      </w:r>
      <w:proofErr w:type="spellEnd"/>
      <w:r w:rsidRPr="00DA3B36">
        <w:rPr>
          <w:rFonts w:ascii="Arial" w:hAnsi="Arial" w:cs="Arial"/>
          <w:sz w:val="20"/>
          <w:szCs w:val="20"/>
          <w:lang w:val="es-ES"/>
        </w:rPr>
        <w:t xml:space="preserve">, </w:t>
      </w:r>
      <w:proofErr w:type="gramStart"/>
      <w:r w:rsidRPr="00DA3B36">
        <w:rPr>
          <w:rFonts w:ascii="Arial" w:hAnsi="Arial" w:cs="Arial"/>
          <w:sz w:val="20"/>
          <w:szCs w:val="20"/>
          <w:lang w:val="es-ES"/>
        </w:rPr>
        <w:t>Director General</w:t>
      </w:r>
      <w:proofErr w:type="gramEnd"/>
      <w:r w:rsidRPr="00DA3B36">
        <w:rPr>
          <w:rFonts w:ascii="Arial" w:hAnsi="Arial" w:cs="Arial"/>
          <w:sz w:val="20"/>
          <w:szCs w:val="20"/>
          <w:lang w:val="es-ES"/>
        </w:rPr>
        <w:t xml:space="preserve"> de la Oficina de Turismo de Polonia. </w:t>
      </w:r>
      <w:r w:rsidRPr="00297FD8">
        <w:rPr>
          <w:rFonts w:ascii="Arial" w:hAnsi="Arial" w:cs="Arial"/>
          <w:i/>
          <w:iCs/>
          <w:sz w:val="20"/>
          <w:szCs w:val="20"/>
          <w:lang w:val="es-ES"/>
        </w:rPr>
        <w:t xml:space="preserve">"Pomerania, junto con </w:t>
      </w:r>
      <w:proofErr w:type="spellStart"/>
      <w:r w:rsidRPr="00297FD8">
        <w:rPr>
          <w:rFonts w:ascii="Arial" w:hAnsi="Arial" w:cs="Arial"/>
          <w:i/>
          <w:iCs/>
          <w:sz w:val="20"/>
          <w:szCs w:val="20"/>
          <w:lang w:val="es-ES"/>
        </w:rPr>
        <w:t>Gdańsk</w:t>
      </w:r>
      <w:proofErr w:type="spellEnd"/>
      <w:r w:rsidRPr="00297FD8">
        <w:rPr>
          <w:rFonts w:ascii="Arial" w:hAnsi="Arial" w:cs="Arial"/>
          <w:i/>
          <w:iCs/>
          <w:sz w:val="20"/>
          <w:szCs w:val="20"/>
          <w:lang w:val="es-ES"/>
        </w:rPr>
        <w:t xml:space="preserve">, es una de las regiones más bellas de Polonia, con un gran potencial de recursos naturales y una interesante oferta turística. Sin embargo, para mí, como </w:t>
      </w:r>
      <w:proofErr w:type="gramStart"/>
      <w:r w:rsidRPr="00297FD8">
        <w:rPr>
          <w:rFonts w:ascii="Arial" w:hAnsi="Arial" w:cs="Arial"/>
          <w:i/>
          <w:iCs/>
          <w:sz w:val="20"/>
          <w:szCs w:val="20"/>
          <w:lang w:val="es-ES"/>
        </w:rPr>
        <w:lastRenderedPageBreak/>
        <w:t>Presidente</w:t>
      </w:r>
      <w:proofErr w:type="gramEnd"/>
      <w:r w:rsidRPr="00297FD8">
        <w:rPr>
          <w:rFonts w:ascii="Arial" w:hAnsi="Arial" w:cs="Arial"/>
          <w:i/>
          <w:iCs/>
          <w:sz w:val="20"/>
          <w:szCs w:val="20"/>
          <w:lang w:val="es-ES"/>
        </w:rPr>
        <w:t xml:space="preserve"> de la Oficina Polaca de Turismo, es especialmente importante que Pomerania reciba tal </w:t>
      </w:r>
      <w:r w:rsidR="00297FD8">
        <w:rPr>
          <w:rFonts w:ascii="Arial" w:hAnsi="Arial" w:cs="Arial"/>
          <w:i/>
          <w:iCs/>
          <w:sz w:val="20"/>
          <w:szCs w:val="20"/>
          <w:lang w:val="es-ES"/>
        </w:rPr>
        <w:t>distintivo</w:t>
      </w:r>
      <w:r w:rsidRPr="00297FD8">
        <w:rPr>
          <w:rFonts w:ascii="Arial" w:hAnsi="Arial" w:cs="Arial"/>
          <w:i/>
          <w:iCs/>
          <w:sz w:val="20"/>
          <w:szCs w:val="20"/>
          <w:lang w:val="es-ES"/>
        </w:rPr>
        <w:t xml:space="preserve"> de interés. Demuestra que Polonia está en perfecta sintonía con las tendencias culinarias mundiales y confirma que nuestro país es un gran destino por descubrir</w:t>
      </w:r>
      <w:r w:rsidR="00297FD8">
        <w:rPr>
          <w:rFonts w:ascii="Arial" w:hAnsi="Arial" w:cs="Arial"/>
          <w:i/>
          <w:iCs/>
          <w:sz w:val="20"/>
          <w:szCs w:val="20"/>
          <w:lang w:val="es-ES"/>
        </w:rPr>
        <w:t>”</w:t>
      </w:r>
      <w:r w:rsidR="00915CB7" w:rsidRPr="00915CB7">
        <w:rPr>
          <w:rFonts w:ascii="Arial" w:hAnsi="Arial" w:cs="Arial"/>
          <w:sz w:val="20"/>
          <w:szCs w:val="20"/>
          <w:lang w:val="es-ES"/>
        </w:rPr>
        <w:t>.</w:t>
      </w:r>
    </w:p>
    <w:p w14:paraId="70B29C30" w14:textId="77777777" w:rsidR="00297FD8" w:rsidRDefault="00297FD8" w:rsidP="004C76CE">
      <w:pPr>
        <w:spacing w:line="276" w:lineRule="auto"/>
        <w:ind w:right="1394"/>
        <w:jc w:val="both"/>
        <w:rPr>
          <w:rFonts w:ascii="Arial" w:hAnsi="Arial" w:cs="Arial"/>
          <w:i/>
          <w:iCs/>
          <w:sz w:val="20"/>
          <w:szCs w:val="20"/>
          <w:lang w:val="es-ES"/>
        </w:rPr>
      </w:pPr>
    </w:p>
    <w:p w14:paraId="2B650D06" w14:textId="764C2558" w:rsidR="00DA3B36" w:rsidRDefault="00297FD8" w:rsidP="004C76CE">
      <w:pPr>
        <w:spacing w:line="276" w:lineRule="auto"/>
        <w:ind w:right="1394"/>
        <w:jc w:val="both"/>
        <w:rPr>
          <w:rFonts w:ascii="Arial" w:hAnsi="Arial" w:cs="Arial"/>
          <w:sz w:val="20"/>
          <w:szCs w:val="20"/>
          <w:lang w:val="es-ES"/>
        </w:rPr>
      </w:pPr>
      <w:r w:rsidRPr="00297FD8">
        <w:rPr>
          <w:rFonts w:ascii="Arial" w:hAnsi="Arial" w:cs="Arial"/>
          <w:sz w:val="20"/>
          <w:szCs w:val="20"/>
          <w:lang w:val="es-ES"/>
        </w:rPr>
        <w:t>La nueva selección polaca seguirá la histórica metodología MICHELIN basada en cinco criterios universales que garantizan la misma coherencia entre cada selección: la calidad de los productos</w:t>
      </w:r>
      <w:r w:rsidR="00CC32A3">
        <w:rPr>
          <w:rFonts w:ascii="Arial" w:hAnsi="Arial" w:cs="Arial"/>
          <w:sz w:val="20"/>
          <w:szCs w:val="20"/>
          <w:lang w:val="es-ES"/>
        </w:rPr>
        <w:t>,</w:t>
      </w:r>
      <w:r w:rsidRPr="00297FD8">
        <w:rPr>
          <w:rFonts w:ascii="Arial" w:hAnsi="Arial" w:cs="Arial"/>
          <w:sz w:val="20"/>
          <w:szCs w:val="20"/>
          <w:lang w:val="es-ES"/>
        </w:rPr>
        <w:t xml:space="preserve"> la armonía de los sabores</w:t>
      </w:r>
      <w:r w:rsidR="00CC32A3">
        <w:rPr>
          <w:rFonts w:ascii="Arial" w:hAnsi="Arial" w:cs="Arial"/>
          <w:sz w:val="20"/>
          <w:szCs w:val="20"/>
          <w:lang w:val="es-ES"/>
        </w:rPr>
        <w:t>,</w:t>
      </w:r>
      <w:r w:rsidRPr="00297FD8">
        <w:rPr>
          <w:rFonts w:ascii="Arial" w:hAnsi="Arial" w:cs="Arial"/>
          <w:sz w:val="20"/>
          <w:szCs w:val="20"/>
          <w:lang w:val="es-ES"/>
        </w:rPr>
        <w:t xml:space="preserve"> el dominio de las técnicas</w:t>
      </w:r>
      <w:r w:rsidR="00CC32A3">
        <w:rPr>
          <w:rFonts w:ascii="Arial" w:hAnsi="Arial" w:cs="Arial"/>
          <w:sz w:val="20"/>
          <w:szCs w:val="20"/>
          <w:lang w:val="es-ES"/>
        </w:rPr>
        <w:t>,</w:t>
      </w:r>
      <w:r w:rsidRPr="00297FD8">
        <w:rPr>
          <w:rFonts w:ascii="Arial" w:hAnsi="Arial" w:cs="Arial"/>
          <w:sz w:val="20"/>
          <w:szCs w:val="20"/>
          <w:lang w:val="es-ES"/>
        </w:rPr>
        <w:t xml:space="preserve"> la personalidad que el chef expresa a través de su cocina</w:t>
      </w:r>
      <w:r w:rsidR="00CC32A3">
        <w:rPr>
          <w:rFonts w:ascii="Arial" w:hAnsi="Arial" w:cs="Arial"/>
          <w:sz w:val="20"/>
          <w:szCs w:val="20"/>
          <w:lang w:val="es-ES"/>
        </w:rPr>
        <w:t>,</w:t>
      </w:r>
      <w:r w:rsidRPr="00297FD8">
        <w:rPr>
          <w:rFonts w:ascii="Arial" w:hAnsi="Arial" w:cs="Arial"/>
          <w:sz w:val="20"/>
          <w:szCs w:val="20"/>
          <w:lang w:val="es-ES"/>
        </w:rPr>
        <w:t xml:space="preserve"> la coherencia entre cada visita y cada plato del menú.</w:t>
      </w:r>
    </w:p>
    <w:p w14:paraId="355C2227" w14:textId="2A970D22" w:rsidR="00297FD8" w:rsidRDefault="00297FD8" w:rsidP="004C76CE">
      <w:pPr>
        <w:spacing w:line="276" w:lineRule="auto"/>
        <w:ind w:right="1394"/>
        <w:jc w:val="both"/>
        <w:rPr>
          <w:rFonts w:ascii="Arial" w:hAnsi="Arial" w:cs="Arial"/>
          <w:sz w:val="20"/>
          <w:szCs w:val="20"/>
          <w:lang w:val="es-ES"/>
        </w:rPr>
      </w:pPr>
    </w:p>
    <w:p w14:paraId="7FDF9874" w14:textId="2925D95A" w:rsidR="00297FD8" w:rsidRDefault="00297FD8" w:rsidP="004C76CE">
      <w:pPr>
        <w:spacing w:line="276" w:lineRule="auto"/>
        <w:ind w:right="1394"/>
        <w:jc w:val="both"/>
        <w:rPr>
          <w:rFonts w:ascii="Arial" w:hAnsi="Arial" w:cs="Arial"/>
          <w:sz w:val="20"/>
          <w:szCs w:val="20"/>
          <w:lang w:val="es-ES"/>
        </w:rPr>
      </w:pPr>
      <w:r w:rsidRPr="00297FD8">
        <w:rPr>
          <w:rFonts w:ascii="Arial" w:hAnsi="Arial" w:cs="Arial"/>
          <w:sz w:val="20"/>
          <w:szCs w:val="20"/>
          <w:lang w:val="es-ES"/>
        </w:rPr>
        <w:t>A día de hoy, la Guía MICHELIN sigue siendo un aliado para los viajeros que buscan una experiencia gastronómica excepcional. La primera Guía MICHELIN se publicó en Francia a principios del siglo XX para fomentar la venta de neumáticos ofreciendo consejos prácticos a los automovilistas franceses.  Los inspectores de la Guía MICHELIN siempre han aplicado los mismos criterios de selección a cada destino.</w:t>
      </w:r>
    </w:p>
    <w:p w14:paraId="1E47C080" w14:textId="41B0B216" w:rsidR="00C852FD" w:rsidRDefault="00C852FD" w:rsidP="004C76CE">
      <w:pPr>
        <w:spacing w:line="276" w:lineRule="auto"/>
        <w:ind w:right="1394"/>
        <w:jc w:val="both"/>
        <w:rPr>
          <w:rFonts w:ascii="Arial" w:hAnsi="Arial" w:cs="Arial"/>
          <w:sz w:val="20"/>
          <w:szCs w:val="20"/>
          <w:lang w:val="es-ES"/>
        </w:rPr>
      </w:pPr>
    </w:p>
    <w:p w14:paraId="49D135B2" w14:textId="32C4D04F" w:rsidR="00C852FD" w:rsidRDefault="00C852FD" w:rsidP="004C76CE">
      <w:pPr>
        <w:spacing w:line="276" w:lineRule="auto"/>
        <w:ind w:right="1394"/>
        <w:jc w:val="both"/>
        <w:rPr>
          <w:rFonts w:ascii="Arial" w:hAnsi="Arial" w:cs="Arial"/>
          <w:sz w:val="20"/>
          <w:szCs w:val="20"/>
          <w:lang w:val="es-ES"/>
        </w:rPr>
      </w:pPr>
      <w:r w:rsidRPr="00C852FD">
        <w:rPr>
          <w:rFonts w:ascii="Arial" w:hAnsi="Arial" w:cs="Arial"/>
          <w:sz w:val="20"/>
          <w:szCs w:val="20"/>
          <w:lang w:val="es-ES"/>
        </w:rPr>
        <w:t>Esta nueva selección polaca ampliada pondrá de relieve no sólo la escena gastronómica del país, sino también sus numerosos chefs de talento, famosos por su pasión, creatividad y respeto por las tradiciones culinarias locales.</w:t>
      </w:r>
    </w:p>
    <w:p w14:paraId="43783F57" w14:textId="7722C1DF" w:rsidR="00C852FD" w:rsidRDefault="00C852FD" w:rsidP="004C76CE">
      <w:pPr>
        <w:spacing w:line="276" w:lineRule="auto"/>
        <w:ind w:right="1394"/>
        <w:jc w:val="both"/>
        <w:rPr>
          <w:rFonts w:ascii="Arial" w:hAnsi="Arial" w:cs="Arial"/>
          <w:sz w:val="20"/>
          <w:szCs w:val="20"/>
          <w:lang w:val="es-ES"/>
        </w:rPr>
      </w:pPr>
    </w:p>
    <w:p w14:paraId="0B747CFA" w14:textId="2DFCF142" w:rsidR="00C852FD" w:rsidRDefault="00C852FD" w:rsidP="004C76CE">
      <w:pPr>
        <w:spacing w:line="276" w:lineRule="auto"/>
        <w:ind w:right="1394"/>
        <w:jc w:val="both"/>
        <w:rPr>
          <w:rFonts w:ascii="Arial" w:hAnsi="Arial" w:cs="Arial"/>
          <w:sz w:val="20"/>
          <w:szCs w:val="20"/>
          <w:lang w:val="es-ES"/>
        </w:rPr>
      </w:pPr>
      <w:r w:rsidRPr="00C852FD">
        <w:rPr>
          <w:rFonts w:ascii="Arial" w:hAnsi="Arial" w:cs="Arial"/>
          <w:sz w:val="20"/>
          <w:szCs w:val="20"/>
          <w:lang w:val="es-ES"/>
        </w:rPr>
        <w:t>A los restaurantes galardonados se unirá la selección de hoteles de la Guía MICHELIN, que destaca los lugares más originales y de moda para alojarse en Polonia y en todo el mundo. Incluye más de 5.000 hoteles en más de 130 países, con recomendaciones para todos los bolsillos. Cada hotel ha sido elegido por los expertos de la Guía MICHELIN por su estilo, servicio y personalidad únicos, y puede reservarse directamente en la web y la app de la Guía MICHELIN.</w:t>
      </w:r>
    </w:p>
    <w:p w14:paraId="5BC03ED3" w14:textId="79371A49" w:rsidR="00C852FD" w:rsidRDefault="00C852FD" w:rsidP="004C76CE">
      <w:pPr>
        <w:spacing w:line="276" w:lineRule="auto"/>
        <w:ind w:right="1394"/>
        <w:jc w:val="both"/>
        <w:rPr>
          <w:rFonts w:ascii="Arial" w:hAnsi="Arial" w:cs="Arial"/>
          <w:sz w:val="20"/>
          <w:szCs w:val="20"/>
          <w:lang w:val="es-ES"/>
        </w:rPr>
      </w:pPr>
    </w:p>
    <w:p w14:paraId="51F86977" w14:textId="5C5A2997" w:rsidR="00C852FD" w:rsidRPr="00297FD8" w:rsidRDefault="00C852FD" w:rsidP="004C76CE">
      <w:pPr>
        <w:spacing w:line="276" w:lineRule="auto"/>
        <w:ind w:right="1394"/>
        <w:jc w:val="both"/>
        <w:rPr>
          <w:rFonts w:ascii="Arial" w:hAnsi="Arial" w:cs="Arial"/>
          <w:sz w:val="20"/>
          <w:szCs w:val="20"/>
          <w:lang w:val="es-ES"/>
        </w:rPr>
      </w:pPr>
      <w:r w:rsidRPr="00C852FD">
        <w:rPr>
          <w:rFonts w:ascii="Arial" w:hAnsi="Arial" w:cs="Arial"/>
          <w:sz w:val="20"/>
          <w:szCs w:val="20"/>
          <w:lang w:val="es-ES"/>
        </w:rPr>
        <w:t>La Guía MICHELIN es un referente en el mundo de la gastronomía. Ahora establece un nuevo estándar de calidad para el sector hotelero. Para descubrir cada restaurante de la selección y reservar un hotel para una estancia inolvidable, solo tiene que visitar el sitio web de la Guía MICHELIN o descargar la aplicación gratuita para iOS y Android.</w:t>
      </w:r>
    </w:p>
    <w:p w14:paraId="0EC370F5" w14:textId="70938E50" w:rsidR="00C852FD" w:rsidRDefault="00C852FD" w:rsidP="00C852FD">
      <w:pPr>
        <w:jc w:val="both"/>
        <w:rPr>
          <w:rFonts w:ascii="Verdana" w:eastAsia="Verdana" w:hAnsi="Verdana" w:cs="Verdana"/>
        </w:rPr>
      </w:pPr>
    </w:p>
    <w:p w14:paraId="67C78DCB" w14:textId="77777777" w:rsidR="0067308A" w:rsidRPr="00D02D8F" w:rsidRDefault="0067308A" w:rsidP="00C852FD">
      <w:pPr>
        <w:jc w:val="both"/>
        <w:rPr>
          <w:rFonts w:ascii="Verdana" w:eastAsia="Verdana" w:hAnsi="Verdana" w:cs="Verdana"/>
        </w:rPr>
      </w:pPr>
    </w:p>
    <w:p w14:paraId="0F981493" w14:textId="64E22461" w:rsidR="00C852FD" w:rsidRPr="00D02D8F" w:rsidRDefault="00C852FD" w:rsidP="00C852FD">
      <w:pPr>
        <w:jc w:val="both"/>
        <w:rPr>
          <w:rFonts w:ascii="Verdana" w:eastAsia="Verdana" w:hAnsi="Verdana" w:cs="Verdana"/>
        </w:rPr>
      </w:pPr>
      <w:r w:rsidRPr="00D02D8F">
        <w:rPr>
          <w:rFonts w:ascii="Calibri" w:eastAsia="Calibri" w:hAnsi="Calibri" w:cs="Calibri"/>
          <w:noProof/>
          <w:lang w:val="en-US"/>
        </w:rPr>
        <w:drawing>
          <wp:anchor distT="0" distB="0" distL="114300" distR="114300" simplePos="0" relativeHeight="251664384" behindDoc="0" locked="0" layoutInCell="1" allowOverlap="1" wp14:anchorId="751EE33E" wp14:editId="3D00B92F">
            <wp:simplePos x="0" y="0"/>
            <wp:positionH relativeFrom="margin">
              <wp:posOffset>2393950</wp:posOffset>
            </wp:positionH>
            <wp:positionV relativeFrom="paragraph">
              <wp:posOffset>172085</wp:posOffset>
            </wp:positionV>
            <wp:extent cx="733425" cy="733425"/>
            <wp:effectExtent l="0" t="0" r="9525" b="9525"/>
            <wp:wrapNone/>
            <wp:docPr id="1567260712" name="Image 3" descr="Une image contenant motif, tissu,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260712" name="Image 3" descr="Une image contenant motif, tissu, point&#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585A0ED6" w14:textId="1DBB5D3B" w:rsidR="00C852FD" w:rsidRPr="00D02D8F" w:rsidRDefault="00C852FD" w:rsidP="00C852FD">
      <w:pPr>
        <w:jc w:val="center"/>
        <w:rPr>
          <w:rFonts w:ascii="Calibri" w:eastAsia="Calibri" w:hAnsi="Calibri" w:cs="Calibri"/>
        </w:rPr>
      </w:pPr>
    </w:p>
    <w:p w14:paraId="11F813DE" w14:textId="2D7E6450" w:rsidR="00C852FD" w:rsidRPr="00D02D8F" w:rsidRDefault="00C852FD" w:rsidP="00C852FD"/>
    <w:p w14:paraId="71074FA2" w14:textId="72FC8E9D" w:rsidR="00D9728A" w:rsidRDefault="00D9728A" w:rsidP="004C76CE">
      <w:pPr>
        <w:spacing w:line="276" w:lineRule="auto"/>
        <w:ind w:right="1394"/>
        <w:jc w:val="both"/>
        <w:rPr>
          <w:rFonts w:ascii="Arial" w:hAnsi="Arial" w:cs="Arial"/>
          <w:sz w:val="20"/>
          <w:szCs w:val="20"/>
          <w:lang w:val="es-ES"/>
        </w:rPr>
      </w:pPr>
    </w:p>
    <w:p w14:paraId="085403A7" w14:textId="7AAB81D3" w:rsidR="00BC497E" w:rsidRDefault="00BC497E" w:rsidP="00D9728A">
      <w:pPr>
        <w:spacing w:line="276" w:lineRule="auto"/>
        <w:ind w:right="1394"/>
        <w:jc w:val="center"/>
        <w:rPr>
          <w:noProof/>
        </w:rPr>
      </w:pPr>
    </w:p>
    <w:p w14:paraId="383A76BD" w14:textId="20A07317" w:rsidR="00C852FD" w:rsidRDefault="00915CB7" w:rsidP="00D9728A">
      <w:pPr>
        <w:spacing w:line="276" w:lineRule="auto"/>
        <w:ind w:right="1394"/>
        <w:jc w:val="center"/>
        <w:rPr>
          <w:noProof/>
        </w:rPr>
      </w:pPr>
      <w:r>
        <w:rPr>
          <w:noProof/>
        </w:rPr>
        <w:drawing>
          <wp:anchor distT="0" distB="0" distL="114300" distR="114300" simplePos="0" relativeHeight="251665408" behindDoc="0" locked="0" layoutInCell="1" allowOverlap="1" wp14:anchorId="5FCD1D0F" wp14:editId="676054CF">
            <wp:simplePos x="0" y="0"/>
            <wp:positionH relativeFrom="page">
              <wp:align>center</wp:align>
            </wp:positionH>
            <wp:positionV relativeFrom="paragraph">
              <wp:posOffset>23495</wp:posOffset>
            </wp:positionV>
            <wp:extent cx="3163112" cy="2268220"/>
            <wp:effectExtent l="0" t="0" r="0" b="0"/>
            <wp:wrapNone/>
            <wp:docPr id="1773152713" name="Image 1773152713"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52713" name="Image 1773152713" descr="Une image contenant texte, Police, Graphique, conceptio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3112" cy="2268220"/>
                    </a:xfrm>
                    <a:prstGeom prst="rect">
                      <a:avLst/>
                    </a:prstGeom>
                  </pic:spPr>
                </pic:pic>
              </a:graphicData>
            </a:graphic>
            <wp14:sizeRelH relativeFrom="margin">
              <wp14:pctWidth>0</wp14:pctWidth>
            </wp14:sizeRelH>
            <wp14:sizeRelV relativeFrom="margin">
              <wp14:pctHeight>0</wp14:pctHeight>
            </wp14:sizeRelV>
          </wp:anchor>
        </w:drawing>
      </w:r>
    </w:p>
    <w:p w14:paraId="21CD4190" w14:textId="0810E055" w:rsidR="00C852FD" w:rsidRDefault="00C852FD" w:rsidP="00D9728A">
      <w:pPr>
        <w:spacing w:line="276" w:lineRule="auto"/>
        <w:ind w:right="1394"/>
        <w:jc w:val="center"/>
        <w:rPr>
          <w:noProof/>
        </w:rPr>
      </w:pPr>
    </w:p>
    <w:p w14:paraId="2439096A" w14:textId="3B2AF5E2" w:rsidR="00C852FD" w:rsidRDefault="00C852FD" w:rsidP="00D9728A">
      <w:pPr>
        <w:spacing w:line="276" w:lineRule="auto"/>
        <w:ind w:right="1394"/>
        <w:jc w:val="center"/>
        <w:rPr>
          <w:noProof/>
        </w:rPr>
      </w:pPr>
    </w:p>
    <w:p w14:paraId="7A27B8CA" w14:textId="60E9077B" w:rsidR="00C852FD" w:rsidRDefault="00C852FD" w:rsidP="00D9728A">
      <w:pPr>
        <w:spacing w:line="276" w:lineRule="auto"/>
        <w:ind w:right="1394"/>
        <w:jc w:val="center"/>
        <w:rPr>
          <w:noProof/>
        </w:rPr>
      </w:pPr>
    </w:p>
    <w:p w14:paraId="66D0DB50" w14:textId="757A7FE6" w:rsidR="00C852FD" w:rsidRDefault="00C852FD" w:rsidP="00D9728A">
      <w:pPr>
        <w:spacing w:line="276" w:lineRule="auto"/>
        <w:ind w:right="1394"/>
        <w:jc w:val="center"/>
        <w:rPr>
          <w:noProof/>
        </w:rPr>
      </w:pPr>
    </w:p>
    <w:p w14:paraId="778993B6" w14:textId="73F4A261" w:rsidR="00C852FD" w:rsidRDefault="00C852FD" w:rsidP="00D9728A">
      <w:pPr>
        <w:spacing w:line="276" w:lineRule="auto"/>
        <w:ind w:right="1394"/>
        <w:jc w:val="center"/>
        <w:rPr>
          <w:noProof/>
        </w:rPr>
      </w:pPr>
    </w:p>
    <w:p w14:paraId="0B06476C" w14:textId="0AEEA82B" w:rsidR="00C852FD" w:rsidRDefault="00C852FD" w:rsidP="00D9728A">
      <w:pPr>
        <w:spacing w:line="276" w:lineRule="auto"/>
        <w:ind w:right="1394"/>
        <w:jc w:val="center"/>
        <w:rPr>
          <w:noProof/>
        </w:rPr>
      </w:pPr>
    </w:p>
    <w:p w14:paraId="00B63A5D" w14:textId="69E9B2DC" w:rsidR="00C852FD" w:rsidRDefault="00C852FD" w:rsidP="00D9728A">
      <w:pPr>
        <w:spacing w:line="276" w:lineRule="auto"/>
        <w:ind w:right="1394"/>
        <w:jc w:val="center"/>
        <w:rPr>
          <w:noProof/>
        </w:rPr>
      </w:pPr>
    </w:p>
    <w:p w14:paraId="457FA127" w14:textId="77777777" w:rsidR="00C852FD" w:rsidRPr="00BC497E" w:rsidRDefault="00C852FD" w:rsidP="00D9728A">
      <w:pPr>
        <w:spacing w:line="276" w:lineRule="auto"/>
        <w:ind w:right="1394"/>
        <w:jc w:val="center"/>
        <w:rPr>
          <w:rFonts w:ascii="Arial" w:hAnsi="Arial" w:cs="Arial"/>
          <w:sz w:val="20"/>
          <w:szCs w:val="20"/>
          <w:lang w:val="es-ES"/>
        </w:rPr>
      </w:pPr>
    </w:p>
    <w:p w14:paraId="03B9CD56" w14:textId="77777777" w:rsidR="00D9728A" w:rsidRDefault="00D9728A" w:rsidP="00FA5F7A">
      <w:pPr>
        <w:ind w:right="1394"/>
        <w:jc w:val="both"/>
        <w:rPr>
          <w:rFonts w:ascii="Arial" w:hAnsi="Arial" w:cs="Arial"/>
          <w:b/>
          <w:iCs/>
          <w:sz w:val="16"/>
          <w:szCs w:val="16"/>
          <w:lang w:val="es-ES_tradnl"/>
        </w:rPr>
      </w:pPr>
    </w:p>
    <w:p w14:paraId="4B3DBFAA" w14:textId="77777777" w:rsidR="00D9728A" w:rsidRDefault="00D9728A" w:rsidP="00FA5F7A">
      <w:pPr>
        <w:ind w:right="1394"/>
        <w:jc w:val="both"/>
        <w:rPr>
          <w:rFonts w:ascii="Arial" w:hAnsi="Arial" w:cs="Arial"/>
          <w:b/>
          <w:iCs/>
          <w:sz w:val="16"/>
          <w:szCs w:val="16"/>
          <w:lang w:val="es-ES_tradnl"/>
        </w:rPr>
      </w:pPr>
    </w:p>
    <w:p w14:paraId="0741AFCE" w14:textId="77777777" w:rsidR="00CC32A3" w:rsidRDefault="00CC32A3" w:rsidP="00FA5F7A">
      <w:pPr>
        <w:ind w:right="1394"/>
        <w:jc w:val="both"/>
        <w:rPr>
          <w:rFonts w:ascii="Arial" w:hAnsi="Arial" w:cs="Arial"/>
          <w:b/>
          <w:iCs/>
          <w:sz w:val="16"/>
          <w:szCs w:val="16"/>
          <w:lang w:val="es-ES_tradnl"/>
        </w:rPr>
      </w:pPr>
    </w:p>
    <w:p w14:paraId="0E8E8554" w14:textId="6241896B"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lastRenderedPageBreak/>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1C765773" w:rsidR="005F4BF0" w:rsidRPr="0026421D" w:rsidRDefault="005F4BF0" w:rsidP="005F4BF0">
      <w:pPr>
        <w:spacing w:line="276" w:lineRule="auto"/>
        <w:ind w:right="1394" w:firstLine="851"/>
        <w:rPr>
          <w:rFonts w:ascii="Arial" w:hAnsi="Arial" w:cs="Arial"/>
          <w:sz w:val="20"/>
          <w:szCs w:val="20"/>
          <w:lang w:val="es-ES"/>
        </w:rPr>
      </w:pPr>
      <w:r w:rsidRPr="0026421D">
        <w:rPr>
          <w:rFonts w:ascii="Arial" w:hAnsi="Arial" w:cs="Arial"/>
          <w:sz w:val="20"/>
          <w:szCs w:val="20"/>
          <w:lang w:val="es-ES"/>
        </w:rPr>
        <w:t xml:space="preserve">                       </w:t>
      </w:r>
      <w:r w:rsidR="00CC32A3">
        <w:rPr>
          <w:rFonts w:ascii="Arial" w:hAnsi="Arial" w:cs="Arial"/>
          <w:sz w:val="20"/>
          <w:szCs w:val="20"/>
          <w:lang w:val="es-ES"/>
        </w:rPr>
        <w:t xml:space="preserve">                 </w:t>
      </w:r>
      <w:hyperlink r:id="rId12" w:history="1">
        <w:r w:rsidR="00CC32A3" w:rsidRPr="000208EA">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C2372A" w:rsidP="00FA5F7A">
      <w:pPr>
        <w:ind w:right="1394"/>
        <w:jc w:val="center"/>
        <w:rPr>
          <w:rStyle w:val="Hipervnculo"/>
          <w:rFonts w:ascii="Arial" w:hAnsi="Arial" w:cs="Arial"/>
          <w:sz w:val="20"/>
          <w:szCs w:val="20"/>
        </w:rPr>
      </w:pPr>
      <w:hyperlink r:id="rId15" w:history="1">
        <w:r w:rsidR="00853786" w:rsidRPr="0026421D">
          <w:rPr>
            <w:rStyle w:val="Hipervnculo"/>
            <w:rFonts w:ascii="Arial" w:hAnsi="Arial" w:cs="Arial"/>
            <w:sz w:val="20"/>
            <w:szCs w:val="20"/>
          </w:rPr>
          <w:t>www.michelin.es</w:t>
        </w:r>
      </w:hyperlink>
    </w:p>
    <w:p w14:paraId="6315711F" w14:textId="4174FC28" w:rsidR="00564C18" w:rsidRPr="0026421D" w:rsidRDefault="00C2372A" w:rsidP="00FA5F7A">
      <w:pPr>
        <w:ind w:right="1394"/>
        <w:jc w:val="center"/>
        <w:rPr>
          <w:rFonts w:ascii="Arial" w:hAnsi="Arial" w:cs="Arial"/>
          <w:sz w:val="20"/>
          <w:szCs w:val="20"/>
        </w:rPr>
      </w:pPr>
      <w:hyperlink r:id="rId16"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1A3952CE">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18"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2D43B9BD">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19"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21"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3A38EF" w:rsidP="0026421D">
      <w:pPr>
        <w:ind w:left="360" w:right="1394"/>
        <w:jc w:val="center"/>
        <w:rPr>
          <w:rFonts w:ascii="Arial" w:hAnsi="Arial" w:cs="Arial"/>
          <w:sz w:val="20"/>
          <w:szCs w:val="20"/>
        </w:rPr>
      </w:pPr>
      <w:r>
        <w:rPr>
          <w:rFonts w:ascii="Arial" w:hAnsi="Arial" w:cs="Arial"/>
          <w:noProof/>
          <w:sz w:val="20"/>
          <w:szCs w:val="20"/>
          <w:lang w:val="es-ES"/>
        </w:rPr>
        <w:pict w14:anchorId="17DEC504">
          <v:shape id="Imagen 2" o:spid="_x0000_i1026" type="#_x0000_t75" alt="" style="width:10.8pt;height:10.8pt;visibility:visible;mso-wrap-style:square;mso-width-percent:0;mso-height-percent:0;mso-width-percent:0;mso-height-percent:0" o:bullet="t">
            <v:imagedata r:id="rId22" o:title=""/>
            <o:lock v:ext="edit" aspectratio="f"/>
          </v:shape>
        </w:pict>
      </w:r>
      <w:hyperlink r:id="rId23"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0305A3BC">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25"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6E19D68" w14:textId="59ADD995" w:rsidR="00A5237A" w:rsidRPr="0026421D" w:rsidRDefault="009A315E" w:rsidP="00FA5F7A">
      <w:pPr>
        <w:ind w:right="1394"/>
        <w:jc w:val="center"/>
        <w:rPr>
          <w:rFonts w:ascii="Arial" w:hAnsi="Arial" w:cs="Arial"/>
          <w:sz w:val="20"/>
          <w:szCs w:val="20"/>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DD4BF82" w14:textId="77777777" w:rsidR="0026421D" w:rsidRPr="006352FD" w:rsidRDefault="0026421D" w:rsidP="0026421D">
      <w:pPr>
        <w:ind w:right="1394"/>
        <w:jc w:val="center"/>
        <w:rPr>
          <w:rFonts w:ascii="Arial" w:hAnsi="Arial" w:cs="Arial"/>
          <w:sz w:val="20"/>
          <w:szCs w:val="20"/>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6"/>
      <w:headerReference w:type="first" r:id="rId27"/>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3D08" w14:textId="77777777" w:rsidR="00C2372A" w:rsidRDefault="00C2372A" w:rsidP="00F24D98">
      <w:r>
        <w:separator/>
      </w:r>
    </w:p>
  </w:endnote>
  <w:endnote w:type="continuationSeparator" w:id="0">
    <w:p w14:paraId="49A8ED55" w14:textId="77777777" w:rsidR="00C2372A" w:rsidRDefault="00C2372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A879" w14:textId="77777777" w:rsidR="00C2372A" w:rsidRDefault="00C2372A" w:rsidP="00F24D98">
      <w:r>
        <w:separator/>
      </w:r>
    </w:p>
  </w:footnote>
  <w:footnote w:type="continuationSeparator" w:id="0">
    <w:p w14:paraId="41BEC334" w14:textId="77777777" w:rsidR="00C2372A" w:rsidRDefault="00C2372A"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086D02C" w:rsidR="001963B1" w:rsidRDefault="00CC32A3" w:rsidP="006C44F0">
    <w:pPr>
      <w:pStyle w:val="Encabezado"/>
      <w:ind w:left="-1418"/>
    </w:pP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6E709207">
          <wp:simplePos x="0" y="0"/>
          <wp:positionH relativeFrom="column">
            <wp:posOffset>1294130</wp:posOffset>
          </wp:positionH>
          <wp:positionV relativeFrom="paragraph">
            <wp:posOffset>101963</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4E10144">
              <wp:simplePos x="0" y="0"/>
              <wp:positionH relativeFrom="page">
                <wp:posOffset>2207895</wp:posOffset>
              </wp:positionH>
              <wp:positionV relativeFrom="paragraph">
                <wp:posOffset>703036</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55.3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&#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4.8pt;height:189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24377"/>
    <w:rsid w:val="000640B0"/>
    <w:rsid w:val="00073544"/>
    <w:rsid w:val="000B3F91"/>
    <w:rsid w:val="000E49D6"/>
    <w:rsid w:val="00112957"/>
    <w:rsid w:val="00116A1A"/>
    <w:rsid w:val="00127985"/>
    <w:rsid w:val="001963B1"/>
    <w:rsid w:val="001E15C8"/>
    <w:rsid w:val="0021595A"/>
    <w:rsid w:val="00215EB6"/>
    <w:rsid w:val="00225085"/>
    <w:rsid w:val="00262F8B"/>
    <w:rsid w:val="0026421D"/>
    <w:rsid w:val="00265C91"/>
    <w:rsid w:val="00274DC8"/>
    <w:rsid w:val="00297FD8"/>
    <w:rsid w:val="002A26A5"/>
    <w:rsid w:val="002E5C6F"/>
    <w:rsid w:val="002E75BF"/>
    <w:rsid w:val="002F0EDE"/>
    <w:rsid w:val="002F1222"/>
    <w:rsid w:val="003071C4"/>
    <w:rsid w:val="00327CE0"/>
    <w:rsid w:val="0033140C"/>
    <w:rsid w:val="00341DD7"/>
    <w:rsid w:val="0034492F"/>
    <w:rsid w:val="003832B8"/>
    <w:rsid w:val="00387E23"/>
    <w:rsid w:val="003A38EF"/>
    <w:rsid w:val="003D6D23"/>
    <w:rsid w:val="00416C76"/>
    <w:rsid w:val="004237CD"/>
    <w:rsid w:val="004304D8"/>
    <w:rsid w:val="00431CE4"/>
    <w:rsid w:val="00432231"/>
    <w:rsid w:val="00436977"/>
    <w:rsid w:val="00471963"/>
    <w:rsid w:val="004872CD"/>
    <w:rsid w:val="00493386"/>
    <w:rsid w:val="00494082"/>
    <w:rsid w:val="004A2C68"/>
    <w:rsid w:val="004A7A65"/>
    <w:rsid w:val="004C2D71"/>
    <w:rsid w:val="004C6A8C"/>
    <w:rsid w:val="004C76CE"/>
    <w:rsid w:val="004E3294"/>
    <w:rsid w:val="00513691"/>
    <w:rsid w:val="0051465C"/>
    <w:rsid w:val="00531E53"/>
    <w:rsid w:val="0053509C"/>
    <w:rsid w:val="00543A9B"/>
    <w:rsid w:val="00564C18"/>
    <w:rsid w:val="00577E39"/>
    <w:rsid w:val="005827AC"/>
    <w:rsid w:val="005E34D6"/>
    <w:rsid w:val="005E4184"/>
    <w:rsid w:val="005F4BF0"/>
    <w:rsid w:val="006513ED"/>
    <w:rsid w:val="00651ACF"/>
    <w:rsid w:val="0067308A"/>
    <w:rsid w:val="00694196"/>
    <w:rsid w:val="006A0544"/>
    <w:rsid w:val="006C44F0"/>
    <w:rsid w:val="006D01B6"/>
    <w:rsid w:val="007234F8"/>
    <w:rsid w:val="0074688B"/>
    <w:rsid w:val="007809DD"/>
    <w:rsid w:val="007B4E11"/>
    <w:rsid w:val="007D6C7B"/>
    <w:rsid w:val="007F2975"/>
    <w:rsid w:val="008050CA"/>
    <w:rsid w:val="00831FE6"/>
    <w:rsid w:val="0083443A"/>
    <w:rsid w:val="00835901"/>
    <w:rsid w:val="00853786"/>
    <w:rsid w:val="0085450A"/>
    <w:rsid w:val="00864165"/>
    <w:rsid w:val="0087413D"/>
    <w:rsid w:val="00875106"/>
    <w:rsid w:val="008D009C"/>
    <w:rsid w:val="009137EB"/>
    <w:rsid w:val="00915CB7"/>
    <w:rsid w:val="0092102A"/>
    <w:rsid w:val="00927CE5"/>
    <w:rsid w:val="0093532F"/>
    <w:rsid w:val="009A315E"/>
    <w:rsid w:val="009B6B43"/>
    <w:rsid w:val="009C142D"/>
    <w:rsid w:val="009F44DC"/>
    <w:rsid w:val="00A11FFE"/>
    <w:rsid w:val="00A23857"/>
    <w:rsid w:val="00A5237A"/>
    <w:rsid w:val="00AA2ABE"/>
    <w:rsid w:val="00AC0E74"/>
    <w:rsid w:val="00B00429"/>
    <w:rsid w:val="00B36FD7"/>
    <w:rsid w:val="00B47797"/>
    <w:rsid w:val="00B97B28"/>
    <w:rsid w:val="00BC497E"/>
    <w:rsid w:val="00BF7B2B"/>
    <w:rsid w:val="00C04619"/>
    <w:rsid w:val="00C2372A"/>
    <w:rsid w:val="00C24988"/>
    <w:rsid w:val="00C32B46"/>
    <w:rsid w:val="00C368FF"/>
    <w:rsid w:val="00C5046F"/>
    <w:rsid w:val="00C53F0C"/>
    <w:rsid w:val="00C7428D"/>
    <w:rsid w:val="00C84B4E"/>
    <w:rsid w:val="00C852FD"/>
    <w:rsid w:val="00C956D0"/>
    <w:rsid w:val="00C967CB"/>
    <w:rsid w:val="00CC32A3"/>
    <w:rsid w:val="00CE35B7"/>
    <w:rsid w:val="00CF055F"/>
    <w:rsid w:val="00D0296F"/>
    <w:rsid w:val="00D9728A"/>
    <w:rsid w:val="00DA3B36"/>
    <w:rsid w:val="00DB7FA5"/>
    <w:rsid w:val="00DC4EF4"/>
    <w:rsid w:val="00DD783B"/>
    <w:rsid w:val="00E30CF1"/>
    <w:rsid w:val="00E82B7E"/>
    <w:rsid w:val="00EA4D55"/>
    <w:rsid w:val="00EF3871"/>
    <w:rsid w:val="00EF43A2"/>
    <w:rsid w:val="00F24D98"/>
    <w:rsid w:val="00F37367"/>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www.facebook.com/michelinespan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hyperlink" Target="mailto:comunicaci&#243;n-ib@michelin.com" TargetMode="External"/><Relationship Id="rId17" Type="http://schemas.openxmlformats.org/officeDocument/2006/relationships/image" Target="media/image6.png"/><Relationship Id="rId25" Type="http://schemas.openxmlformats.org/officeDocument/2006/relationships/hyperlink" Target="https://www.linkedin.com/company/michelin/" TargetMode="External"/><Relationship Id="rId2" Type="http://schemas.openxmlformats.org/officeDocument/2006/relationships/numbering" Target="numbering.xml"/><Relationship Id="rId16" Type="http://schemas.openxmlformats.org/officeDocument/2006/relationships/hyperlink" Target="https://guide.michelin.com/es/es"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hyperlink" Target="https://twitter.com/MichelinNews"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facebook.com/laGuiaMichelin/?locale=es_E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i_kl7q6gpk1" TargetMode="External"/><Relationship Id="rId22" Type="http://schemas.openxmlformats.org/officeDocument/2006/relationships/image" Target="media/image1.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1253</Words>
  <Characters>6895</Characters>
  <Application>Microsoft Office Word</Application>
  <DocSecurity>0</DocSecurity>
  <Lines>57</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6</cp:revision>
  <dcterms:created xsi:type="dcterms:W3CDTF">2024-05-07T10:35:00Z</dcterms:created>
  <dcterms:modified xsi:type="dcterms:W3CDTF">2024-05-08T13:42:00Z</dcterms:modified>
</cp:coreProperties>
</file>