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A98" w14:textId="77777777" w:rsidR="00B36FEE" w:rsidRPr="006D4CB8" w:rsidRDefault="00395651" w:rsidP="00395651">
      <w:pPr>
        <w:rPr>
          <w:rFonts w:ascii="Arial" w:hAnsi="Arial" w:cs="Arial"/>
          <w:sz w:val="20"/>
          <w:szCs w:val="20"/>
          <w:lang w:val="es-ES"/>
        </w:rPr>
      </w:pPr>
      <w:r w:rsidRPr="006D4CB8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 </w:t>
      </w:r>
      <w:r w:rsidR="00422E33" w:rsidRPr="006D4CB8">
        <w:rPr>
          <w:rFonts w:ascii="Arial" w:hAnsi="Arial" w:cs="Arial"/>
          <w:sz w:val="20"/>
          <w:szCs w:val="20"/>
          <w:lang w:val="es-ES"/>
        </w:rPr>
        <w:t xml:space="preserve">                </w:t>
      </w:r>
      <w:r w:rsidRPr="006D4CB8">
        <w:rPr>
          <w:rFonts w:ascii="Arial" w:hAnsi="Arial" w:cs="Arial"/>
          <w:sz w:val="20"/>
          <w:szCs w:val="20"/>
          <w:lang w:val="es-ES"/>
        </w:rPr>
        <w:t xml:space="preserve">    </w:t>
      </w:r>
    </w:p>
    <w:p w14:paraId="2F46475E" w14:textId="77777777" w:rsidR="00B36FEE" w:rsidRPr="006D4CB8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74DBC59E" w14:textId="77777777" w:rsidR="00B36FEE" w:rsidRPr="006D4CB8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62CD8697" w14:textId="77777777" w:rsidR="00B36FEE" w:rsidRPr="006D4CB8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73920A83" w14:textId="77777777" w:rsidR="00B36FEE" w:rsidRPr="006D4CB8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139D66BB" w14:textId="44F0EE00" w:rsidR="006D398C" w:rsidRPr="006D4CB8" w:rsidRDefault="00B36FEE" w:rsidP="00B36FEE">
      <w:pPr>
        <w:ind w:left="5760"/>
        <w:rPr>
          <w:rFonts w:ascii="Arial" w:hAnsi="Arial" w:cs="Arial"/>
          <w:sz w:val="20"/>
          <w:szCs w:val="20"/>
          <w:lang w:val="es-ES"/>
        </w:rPr>
      </w:pPr>
      <w:r w:rsidRPr="006D4CB8">
        <w:rPr>
          <w:rFonts w:ascii="Arial" w:hAnsi="Arial" w:cs="Arial"/>
          <w:sz w:val="20"/>
          <w:szCs w:val="20"/>
          <w:lang w:val="es-ES"/>
        </w:rPr>
        <w:t xml:space="preserve">   </w:t>
      </w:r>
      <w:r w:rsidR="00BE269E" w:rsidRPr="00896430">
        <w:rPr>
          <w:rFonts w:ascii="Arial" w:hAnsi="Arial" w:cs="Arial"/>
          <w:sz w:val="20"/>
          <w:szCs w:val="20"/>
          <w:lang w:val="es-ES"/>
        </w:rPr>
        <w:t xml:space="preserve">Madrid, </w:t>
      </w:r>
      <w:r w:rsidR="00896430" w:rsidRPr="00896430">
        <w:rPr>
          <w:rFonts w:ascii="Arial" w:hAnsi="Arial" w:cs="Arial"/>
          <w:sz w:val="20"/>
          <w:szCs w:val="20"/>
          <w:lang w:val="es-ES"/>
        </w:rPr>
        <w:t>29</w:t>
      </w:r>
      <w:r w:rsidR="00BE269E" w:rsidRPr="00896430">
        <w:rPr>
          <w:rFonts w:ascii="Arial" w:hAnsi="Arial" w:cs="Arial"/>
          <w:sz w:val="20"/>
          <w:szCs w:val="20"/>
          <w:lang w:val="es-ES"/>
        </w:rPr>
        <w:t xml:space="preserve"> de </w:t>
      </w:r>
      <w:r w:rsidR="00FE6722" w:rsidRPr="00896430">
        <w:rPr>
          <w:rFonts w:ascii="Arial" w:hAnsi="Arial" w:cs="Arial"/>
          <w:sz w:val="20"/>
          <w:szCs w:val="20"/>
          <w:lang w:val="es-ES"/>
        </w:rPr>
        <w:t>mayo</w:t>
      </w:r>
      <w:r w:rsidR="006D398C" w:rsidRPr="00896430">
        <w:rPr>
          <w:rFonts w:ascii="Arial" w:hAnsi="Arial" w:cs="Arial"/>
          <w:sz w:val="20"/>
          <w:szCs w:val="20"/>
          <w:lang w:val="es-ES"/>
        </w:rPr>
        <w:t>, 202</w:t>
      </w:r>
      <w:r w:rsidR="00B23210" w:rsidRPr="00896430">
        <w:rPr>
          <w:rFonts w:ascii="Arial" w:hAnsi="Arial" w:cs="Arial"/>
          <w:sz w:val="20"/>
          <w:szCs w:val="20"/>
          <w:lang w:val="es-ES"/>
        </w:rPr>
        <w:t>4</w:t>
      </w:r>
    </w:p>
    <w:sdt>
      <w:sdtPr>
        <w:rPr>
          <w:rFonts w:ascii="Arial" w:hAnsi="Arial" w:cs="Arial"/>
          <w:lang w:val="es-ES"/>
        </w:rPr>
        <w:id w:val="1987273284"/>
        <w:docPartObj>
          <w:docPartGallery w:val="Cover Pages"/>
          <w:docPartUnique/>
        </w:docPartObj>
      </w:sdtPr>
      <w:sdtContent>
        <w:p w14:paraId="75083583" w14:textId="77777777" w:rsidR="006D398C" w:rsidRPr="006D4CB8" w:rsidRDefault="006D398C" w:rsidP="006D398C">
          <w:pPr>
            <w:jc w:val="center"/>
            <w:rPr>
              <w:rFonts w:ascii="Arial" w:hAnsi="Arial" w:cs="Arial"/>
              <w:lang w:val="es-ES"/>
            </w:rPr>
          </w:pPr>
        </w:p>
        <w:p w14:paraId="5B402CDD" w14:textId="77777777" w:rsidR="008F5893" w:rsidRPr="006D4CB8" w:rsidRDefault="008F5893" w:rsidP="006D398C">
          <w:pPr>
            <w:jc w:val="center"/>
            <w:rPr>
              <w:rFonts w:ascii="Arial" w:hAnsi="Arial" w:cs="Arial"/>
              <w:b/>
              <w:sz w:val="26"/>
              <w:lang w:val="es-ES"/>
            </w:rPr>
          </w:pPr>
        </w:p>
        <w:p w14:paraId="5C0EBD67" w14:textId="77777777" w:rsidR="00265651" w:rsidRDefault="00B74B2C" w:rsidP="00B74B2C">
          <w:pPr>
            <w:spacing w:line="276" w:lineRule="auto"/>
            <w:jc w:val="center"/>
            <w:rPr>
              <w:rFonts w:ascii="Arial" w:hAnsi="Arial" w:cs="Arial"/>
              <w:b/>
              <w:bCs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s-ES"/>
            </w:rPr>
            <w:t>La nueva startup bobine</w:t>
          </w:r>
          <w:r w:rsidRPr="00B74B2C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t xml:space="preserve"> se une al Centro de Materiales Sostenibles de Michelin para desarrollar una innovación </w:t>
          </w:r>
          <w:r>
            <w:rPr>
              <w:rFonts w:ascii="Arial" w:hAnsi="Arial" w:cs="Arial"/>
              <w:b/>
              <w:bCs/>
              <w:sz w:val="28"/>
              <w:szCs w:val="28"/>
              <w:lang w:val="es-ES"/>
            </w:rPr>
            <w:t>pionera</w:t>
          </w:r>
          <w:r w:rsidRPr="00B74B2C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t xml:space="preserve"> en el </w:t>
          </w:r>
        </w:p>
        <w:p w14:paraId="1DE4946E" w14:textId="0ACFAC39" w:rsidR="00AB5624" w:rsidRPr="00B74B2C" w:rsidRDefault="00B74B2C" w:rsidP="00B74B2C">
          <w:pPr>
            <w:spacing w:line="276" w:lineRule="auto"/>
            <w:jc w:val="center"/>
            <w:rPr>
              <w:rFonts w:ascii="Arial" w:hAnsi="Arial" w:cs="Arial"/>
              <w:b/>
              <w:bCs/>
              <w:sz w:val="28"/>
              <w:szCs w:val="28"/>
              <w:lang w:val="es-ES"/>
            </w:rPr>
          </w:pPr>
          <w:r w:rsidRPr="00B74B2C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t>reciclado de plásticos</w:t>
          </w:r>
        </w:p>
        <w:p w14:paraId="716F99B4" w14:textId="77777777" w:rsidR="00B74B2C" w:rsidRPr="00B74B2C" w:rsidRDefault="00B74B2C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1D5EAC6A" w14:textId="77777777" w:rsidR="00CE1C9A" w:rsidRDefault="00CE1C9A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4AD8F43A" w14:textId="6AD1D28F" w:rsidR="006D398C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B74B2C">
            <w:rPr>
              <w:rFonts w:ascii="Arial" w:hAnsi="Arial" w:cs="Arial"/>
              <w:sz w:val="20"/>
              <w:szCs w:val="20"/>
              <w:lang w:val="es-ES"/>
            </w:rPr>
            <w:t>En mayo de 2024, bobine, una joven star</w:t>
          </w:r>
          <w:r w:rsidR="00265651">
            <w:rPr>
              <w:rFonts w:ascii="Arial" w:hAnsi="Arial" w:cs="Arial"/>
              <w:sz w:val="20"/>
              <w:szCs w:val="20"/>
              <w:lang w:val="es-ES"/>
            </w:rPr>
            <w:t>t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up </w:t>
          </w:r>
          <w:proofErr w:type="spellStart"/>
          <w:r w:rsidRPr="00B74B2C">
            <w:rPr>
              <w:rFonts w:ascii="Arial" w:hAnsi="Arial" w:cs="Arial"/>
              <w:sz w:val="20"/>
              <w:szCs w:val="20"/>
              <w:lang w:val="es-ES"/>
            </w:rPr>
            <w:t>Cleantech</w:t>
          </w:r>
          <w:proofErr w:type="spellEnd"/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 con una innovación rompedora en el mercado del reciclaje de plásticos, </w:t>
          </w:r>
          <w:r>
            <w:rPr>
              <w:rFonts w:ascii="Arial" w:hAnsi="Arial" w:cs="Arial"/>
              <w:sz w:val="20"/>
              <w:szCs w:val="20"/>
              <w:lang w:val="es-ES"/>
            </w:rPr>
            <w:t>ha firmado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 un acuerdo de colaboración con el </w:t>
          </w:r>
          <w:r w:rsidR="00896430">
            <w:rPr>
              <w:rFonts w:ascii="Arial" w:hAnsi="Arial" w:cs="Arial"/>
              <w:sz w:val="20"/>
              <w:szCs w:val="20"/>
              <w:lang w:val="es-ES"/>
            </w:rPr>
            <w:t>g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>rupo Michelin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, incorporándose 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al Centro de Materiales Sostenibles de </w:t>
          </w:r>
          <w:proofErr w:type="spellStart"/>
          <w:r w:rsidRPr="00B74B2C">
            <w:rPr>
              <w:rFonts w:ascii="Arial" w:hAnsi="Arial" w:cs="Arial"/>
              <w:sz w:val="20"/>
              <w:szCs w:val="20"/>
              <w:lang w:val="es-ES"/>
            </w:rPr>
            <w:t>Parc</w:t>
          </w:r>
          <w:proofErr w:type="spellEnd"/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proofErr w:type="spellStart"/>
          <w:r w:rsidRPr="00B74B2C">
            <w:rPr>
              <w:rFonts w:ascii="Arial" w:hAnsi="Arial" w:cs="Arial"/>
              <w:sz w:val="20"/>
              <w:szCs w:val="20"/>
              <w:lang w:val="es-ES"/>
            </w:rPr>
            <w:t>Cataroux</w:t>
          </w:r>
          <w:proofErr w:type="spellEnd"/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 en Clermont-Ferrand. El objetivo compartido es acelerar el lanzamiento al mercado de una nueva y revolucionaria tecnología de reciclaje de plásticos, que permite la producción de plástico reciclado a partir de residuos que hoy no pueden reutilizarse, con el fin de contribuir al desarrollo de soluciones de producción de materiales sostenibles</w:t>
          </w:r>
          <w:r w:rsidR="00CE1C9A">
            <w:rPr>
              <w:rFonts w:ascii="Arial" w:hAnsi="Arial" w:cs="Arial"/>
              <w:sz w:val="20"/>
              <w:szCs w:val="20"/>
              <w:lang w:val="es-ES"/>
            </w:rPr>
            <w:t xml:space="preserve"> y circulares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>.</w:t>
          </w:r>
        </w:p>
        <w:p w14:paraId="4657767D" w14:textId="24696E02" w:rsidR="00B74B2C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7BADF8F9" w14:textId="5CA0923C" w:rsidR="00B74B2C" w:rsidRDefault="00B74B2C" w:rsidP="006D398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B74B2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Desarrollar soluciones circulares: un reto crucial, sobre todo para los plásticos</w:t>
          </w:r>
        </w:p>
        <w:p w14:paraId="1716E8C2" w14:textId="64EC0F99" w:rsidR="00B74B2C" w:rsidRDefault="00B74B2C" w:rsidP="006D398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</w:p>
        <w:p w14:paraId="4F1F5877" w14:textId="72333706" w:rsidR="00B74B2C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Con un 50% de plástico reciclado en los envases </w:t>
          </w:r>
          <w:r w:rsidR="00CE1C9A">
            <w:rPr>
              <w:rFonts w:ascii="Arial" w:hAnsi="Arial" w:cs="Arial"/>
              <w:sz w:val="20"/>
              <w:szCs w:val="20"/>
              <w:lang w:val="es-ES"/>
            </w:rPr>
            <w:t>“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>sensibles al contacto</w:t>
          </w:r>
          <w:r w:rsidR="00CE1C9A">
            <w:rPr>
              <w:rFonts w:ascii="Arial" w:hAnsi="Arial" w:cs="Arial"/>
              <w:sz w:val="20"/>
              <w:szCs w:val="20"/>
              <w:lang w:val="es-ES"/>
            </w:rPr>
            <w:t>”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 de aquí a 2040 (Directiva de la UE sobre plásticos de un solo uso), la separación en origen obligatoria de los residuos plásticos para las empresas (Estado al </w:t>
          </w:r>
          <w:r w:rsidR="00CE1C9A">
            <w:rPr>
              <w:rFonts w:ascii="Arial" w:hAnsi="Arial" w:cs="Arial"/>
              <w:sz w:val="20"/>
              <w:szCs w:val="20"/>
              <w:lang w:val="es-ES"/>
            </w:rPr>
            <w:t>S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ervicio de una </w:t>
          </w:r>
          <w:r w:rsidR="00CE1C9A">
            <w:rPr>
              <w:rFonts w:ascii="Arial" w:hAnsi="Arial" w:cs="Arial"/>
              <w:sz w:val="20"/>
              <w:szCs w:val="20"/>
              <w:lang w:val="es-ES"/>
            </w:rPr>
            <w:t>S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ociedad de </w:t>
          </w:r>
          <w:r w:rsidR="00CE1C9A">
            <w:rPr>
              <w:rFonts w:ascii="Arial" w:hAnsi="Arial" w:cs="Arial"/>
              <w:sz w:val="20"/>
              <w:szCs w:val="20"/>
              <w:lang w:val="es-ES"/>
            </w:rPr>
            <w:t>C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onfianza, o ley ESSOC) y el fin de los envases de plástico de un solo uso de aquí a 2040 (Ley contra los residuos para una economía circular, o ley AGEC), la normativa francesa y europea se refuerza para alcanzar ambiciosos objetivos medioambientales. Esto demuestra que los materiales renovables ocupan </w:t>
          </w:r>
          <w:r w:rsidR="00CE1C9A">
            <w:rPr>
              <w:rFonts w:ascii="Arial" w:hAnsi="Arial" w:cs="Arial"/>
              <w:sz w:val="20"/>
              <w:szCs w:val="20"/>
              <w:lang w:val="es-ES"/>
            </w:rPr>
            <w:t>en la actualidad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 xml:space="preserve"> un lugar central, sobre todo en el mercado del plástico, cuyo impacto medioambiental ya no puede ignorarse. Las empresas se enfrentan hoy a un reto importante: reforzar su estrategia de adquisición de materiales circulares y llevar a cabo actividades de investigación y desarrollo de nuevas soluciones de reciclado.</w:t>
          </w:r>
        </w:p>
        <w:p w14:paraId="482B8C9F" w14:textId="49BE7D9D" w:rsidR="00B74B2C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2BE5BF50" w14:textId="064AD2D1" w:rsidR="00B74B2C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B74B2C">
            <w:rPr>
              <w:rFonts w:ascii="Arial" w:hAnsi="Arial" w:cs="Arial"/>
              <w:sz w:val="20"/>
              <w:szCs w:val="20"/>
              <w:lang w:val="es-ES"/>
            </w:rPr>
            <w:t>Hoy en día, gracias a una innovadora tecnología de reciclado químico, bobine puede producir plásticos reciclados de calidad alimentaria a partir de residuos plásticos no reciclables</w:t>
          </w:r>
          <w:r w:rsidR="00265651">
            <w:rPr>
              <w:rFonts w:ascii="Arial" w:hAnsi="Arial" w:cs="Arial"/>
              <w:sz w:val="20"/>
              <w:szCs w:val="20"/>
              <w:lang w:val="es-ES"/>
            </w:rPr>
            <w:t xml:space="preserve">, lo que </w:t>
          </w:r>
          <w:r w:rsidRPr="00B74B2C">
            <w:rPr>
              <w:rFonts w:ascii="Arial" w:hAnsi="Arial" w:cs="Arial"/>
              <w:sz w:val="20"/>
              <w:szCs w:val="20"/>
              <w:lang w:val="es-ES"/>
            </w:rPr>
            <w:t>representa una verdadera oportunidad para cumplir los objetivos medioambientales de Francia y Europa.</w:t>
          </w:r>
        </w:p>
        <w:p w14:paraId="4FCCB144" w14:textId="7AB95DFC" w:rsidR="00B74B2C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129F2318" w14:textId="4A4D9617" w:rsidR="00B74B2C" w:rsidRDefault="007B2E2B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7B2E2B">
            <w:rPr>
              <w:rFonts w:ascii="Arial" w:hAnsi="Arial" w:cs="Arial"/>
              <w:sz w:val="20"/>
              <w:szCs w:val="20"/>
              <w:lang w:val="es-ES"/>
            </w:rPr>
            <w:t xml:space="preserve">Para Michelin, la asociación se ajusta plenamente a la misión del Centro de Materiales Sostenibles, concebido como plataforma de lanzamiento para la industrialización de tecnologías circulares: proporcionar a las jóvenes y prometedoras startups </w:t>
          </w:r>
          <w:proofErr w:type="spellStart"/>
          <w:r w:rsidRPr="007B2E2B">
            <w:rPr>
              <w:rFonts w:ascii="Arial" w:hAnsi="Arial" w:cs="Arial"/>
              <w:sz w:val="20"/>
              <w:szCs w:val="20"/>
              <w:lang w:val="es-ES"/>
            </w:rPr>
            <w:t>Deeptech</w:t>
          </w:r>
          <w:proofErr w:type="spellEnd"/>
          <w:r w:rsidRPr="007B2E2B">
            <w:rPr>
              <w:rFonts w:ascii="Arial" w:hAnsi="Arial" w:cs="Arial"/>
              <w:sz w:val="20"/>
              <w:szCs w:val="20"/>
              <w:lang w:val="es-ES"/>
            </w:rPr>
            <w:t xml:space="preserve"> sus instalaciones, equipos y experiencia de primer nivel para guiar y escalar tecnologías que implican reacciones químicas complejas. Este centro de excelencia representa una oportunidad única en Francia para que estas startups aceleren su transición a escala industrial.</w:t>
          </w:r>
        </w:p>
        <w:p w14:paraId="1D83D62F" w14:textId="77777777" w:rsidR="007B2E2B" w:rsidRDefault="007B2E2B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16C067EE" w14:textId="6FF145E8" w:rsidR="00B74B2C" w:rsidRPr="00B74B2C" w:rsidRDefault="00265651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“</w:t>
          </w:r>
          <w:r w:rsidR="00B74B2C" w:rsidRPr="00B74B2C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Estamos encantados de colaborar con bobine en el desarrollo de esta tecnología revolucionaria para el reciclado químico de plásticos</w:t>
          </w:r>
          <w:r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 xml:space="preserve">. </w:t>
          </w:r>
          <w:r w:rsidRPr="009E259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En Michelin estamos convencidos de que el progreso tecnológico contribuirá a superar los retos medioambientales a los que se enfrenta el mundo. Esta asociación es un paso importante en esa dirección</w:t>
          </w:r>
          <w:r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”</w:t>
          </w:r>
          <w:r w:rsidR="00B74B2C" w:rsidRPr="00B74B2C">
            <w:rPr>
              <w:rFonts w:ascii="Arial" w:hAnsi="Arial" w:cs="Arial"/>
              <w:sz w:val="20"/>
              <w:szCs w:val="20"/>
              <w:lang w:val="es-ES"/>
            </w:rPr>
            <w:t>, ha declarado Pierre Robert, Director del Centro de Materiales Sostenibles</w:t>
          </w:r>
          <w:r w:rsidR="00B74B2C" w:rsidRPr="009E259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 xml:space="preserve">. </w:t>
          </w:r>
        </w:p>
        <w:p w14:paraId="5EA0342A" w14:textId="77777777" w:rsidR="00B74B2C" w:rsidRPr="006D4CB8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63685D5B" w14:textId="77777777" w:rsidR="00265651" w:rsidRDefault="00265651" w:rsidP="003C3FC0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</w:p>
        <w:p w14:paraId="2621A7A8" w14:textId="3DCF10F3" w:rsidR="00B23210" w:rsidRPr="009E2591" w:rsidRDefault="009E2591" w:rsidP="003C3FC0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9E2591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lastRenderedPageBreak/>
            <w:t xml:space="preserve">Una </w:t>
          </w:r>
          <w:r w:rsidR="00265651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alianza</w:t>
          </w:r>
          <w:r w:rsidRPr="009E2591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 </w:t>
          </w:r>
          <w:r w:rsidR="00265651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que permitirá para reducir los plazos de comercialización</w:t>
          </w:r>
        </w:p>
        <w:p w14:paraId="366B766D" w14:textId="77777777" w:rsidR="009E2591" w:rsidRDefault="009E2591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06B57C54" w14:textId="2359C072" w:rsidR="00B23210" w:rsidRDefault="009E2591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9E2591">
            <w:rPr>
              <w:rFonts w:ascii="Arial" w:hAnsi="Arial" w:cs="Arial"/>
              <w:sz w:val="20"/>
              <w:szCs w:val="20"/>
              <w:lang w:val="es-ES"/>
            </w:rPr>
            <w:t xml:space="preserve">Gracias a esta asociación y a la experiencia de Michelin, </w:t>
          </w:r>
          <w:r>
            <w:rPr>
              <w:rFonts w:ascii="Arial" w:hAnsi="Arial" w:cs="Arial"/>
              <w:sz w:val="20"/>
              <w:szCs w:val="20"/>
              <w:lang w:val="es-ES"/>
            </w:rPr>
            <w:t>b</w:t>
          </w:r>
          <w:r w:rsidRPr="009E2591">
            <w:rPr>
              <w:rFonts w:ascii="Arial" w:hAnsi="Arial" w:cs="Arial"/>
              <w:sz w:val="20"/>
              <w:szCs w:val="20"/>
              <w:lang w:val="es-ES"/>
            </w:rPr>
            <w:t>obin</w:t>
          </w:r>
          <w:r w:rsidR="007B2E2B">
            <w:rPr>
              <w:rFonts w:ascii="Arial" w:hAnsi="Arial" w:cs="Arial"/>
              <w:sz w:val="20"/>
              <w:szCs w:val="20"/>
              <w:lang w:val="es-ES"/>
            </w:rPr>
            <w:t>e</w:t>
          </w:r>
          <w:r w:rsidRPr="009E2591">
            <w:rPr>
              <w:rFonts w:ascii="Arial" w:hAnsi="Arial" w:cs="Arial"/>
              <w:sz w:val="20"/>
              <w:szCs w:val="20"/>
              <w:lang w:val="es-ES"/>
            </w:rPr>
            <w:t xml:space="preserve"> pretende desarrollar la primera versión piloto de su tecnología y garantizar un plazo de comercialización lo más breve posible. El proyecto comenzará en Michelin en el verano de 2024, con el objetivo de </w:t>
          </w:r>
          <w:r w:rsidR="00265651">
            <w:rPr>
              <w:rFonts w:ascii="Arial" w:hAnsi="Arial" w:cs="Arial"/>
              <w:sz w:val="20"/>
              <w:szCs w:val="20"/>
              <w:lang w:val="es-ES"/>
            </w:rPr>
            <w:t>lograr</w:t>
          </w:r>
          <w:r w:rsidRPr="009E2591">
            <w:rPr>
              <w:rFonts w:ascii="Arial" w:hAnsi="Arial" w:cs="Arial"/>
              <w:sz w:val="20"/>
              <w:szCs w:val="20"/>
              <w:lang w:val="es-ES"/>
            </w:rPr>
            <w:t xml:space="preserve"> los primeros resultados este otoño. </w:t>
          </w:r>
          <w:r w:rsidR="0026565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“</w:t>
          </w:r>
          <w:r w:rsidRPr="009E259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Cada semana cuenta</w:t>
          </w:r>
          <w:r w:rsidR="0026565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 xml:space="preserve">, </w:t>
          </w:r>
          <w:r w:rsidR="00265651" w:rsidRPr="009E259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la palabra clave es velocidad, y eso es lo que aportamos a las start-ups que apoyamos</w:t>
          </w:r>
          <w:r w:rsidR="0026565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 xml:space="preserve">”, </w:t>
          </w:r>
          <w:r w:rsidRPr="009E2591">
            <w:rPr>
              <w:rFonts w:ascii="Arial" w:hAnsi="Arial" w:cs="Arial"/>
              <w:sz w:val="20"/>
              <w:szCs w:val="20"/>
              <w:lang w:val="es-ES"/>
            </w:rPr>
            <w:t>afirma Pierre Robert</w:t>
          </w:r>
          <w:r w:rsidR="0026565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.</w:t>
          </w:r>
        </w:p>
        <w:p w14:paraId="748270E7" w14:textId="4B324953" w:rsidR="009E2591" w:rsidRDefault="009E2591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6333D549" w14:textId="44308246" w:rsidR="009E2591" w:rsidRDefault="009E2591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9E2591">
            <w:rPr>
              <w:rFonts w:ascii="Arial" w:hAnsi="Arial" w:cs="Arial"/>
              <w:sz w:val="20"/>
              <w:szCs w:val="20"/>
              <w:lang w:val="es-ES"/>
            </w:rPr>
            <w:t xml:space="preserve">Vincent </w:t>
          </w:r>
          <w:proofErr w:type="spellStart"/>
          <w:r w:rsidRPr="009E2591">
            <w:rPr>
              <w:rFonts w:ascii="Arial" w:hAnsi="Arial" w:cs="Arial"/>
              <w:sz w:val="20"/>
              <w:szCs w:val="20"/>
              <w:lang w:val="es-ES"/>
            </w:rPr>
            <w:t>Simonneau</w:t>
          </w:r>
          <w:proofErr w:type="spellEnd"/>
          <w:r w:rsidRPr="009E2591">
            <w:rPr>
              <w:rFonts w:ascii="Arial" w:hAnsi="Arial" w:cs="Arial"/>
              <w:sz w:val="20"/>
              <w:szCs w:val="20"/>
              <w:lang w:val="es-ES"/>
            </w:rPr>
            <w:t xml:space="preserve">, Director General de bobine, añadió: </w:t>
          </w:r>
          <w:r w:rsidR="00265651">
            <w:rPr>
              <w:rFonts w:ascii="Arial" w:hAnsi="Arial" w:cs="Arial"/>
              <w:sz w:val="20"/>
              <w:szCs w:val="20"/>
              <w:lang w:val="es-ES"/>
            </w:rPr>
            <w:t>“</w:t>
          </w:r>
          <w:r w:rsidRPr="009E259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 xml:space="preserve">La asociación con el Centro de Materiales Sostenibles de </w:t>
          </w:r>
          <w:proofErr w:type="spellStart"/>
          <w:r w:rsidRPr="009E259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Parc</w:t>
          </w:r>
          <w:proofErr w:type="spellEnd"/>
          <w:r w:rsidRPr="009E259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 xml:space="preserve"> </w:t>
          </w:r>
          <w:proofErr w:type="spellStart"/>
          <w:r w:rsidRPr="009E259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Cataroux</w:t>
          </w:r>
          <w:proofErr w:type="spellEnd"/>
          <w:r w:rsidRPr="009E259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 xml:space="preserve"> nos brinda una oportunidad única para acelerar el desarrollo y el lanzamiento al mercado de nuestra tecnología de reciclado químico de plásticos. Coincide plenamente con nuestro objetivo de ampliar la tecnología muy rápidamente, y corrobora nuestro ADN industrial y nuestros valores de innovación abierta</w:t>
          </w:r>
          <w:r w:rsidR="00265651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”</w:t>
          </w:r>
          <w:r>
            <w:rPr>
              <w:rFonts w:ascii="Arial" w:hAnsi="Arial" w:cs="Arial"/>
              <w:sz w:val="20"/>
              <w:szCs w:val="20"/>
              <w:lang w:val="es-ES"/>
            </w:rPr>
            <w:t>.</w:t>
          </w:r>
        </w:p>
        <w:p w14:paraId="424F32D8" w14:textId="3DB7D11A" w:rsidR="003C3FC0" w:rsidRPr="006D4CB8" w:rsidRDefault="003C3FC0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2F01FAAE" w14:textId="77777777" w:rsidR="00B23210" w:rsidRDefault="00B23210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648342B4" w14:textId="5E10365A" w:rsidR="003C3FC0" w:rsidRPr="006D4CB8" w:rsidRDefault="00000000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</w:sdtContent>
    </w:sdt>
    <w:p w14:paraId="6D7EC24F" w14:textId="68D57ABA" w:rsidR="00B23210" w:rsidRPr="00B23210" w:rsidRDefault="00B23210" w:rsidP="00B23210">
      <w:pPr>
        <w:jc w:val="both"/>
        <w:rPr>
          <w:rFonts w:ascii="Arial" w:eastAsia="Arial" w:hAnsi="Arial" w:cs="Arial"/>
          <w:b/>
          <w:bCs/>
          <w:sz w:val="16"/>
          <w:szCs w:val="16"/>
          <w:lang w:val="es-ES" w:eastAsia="es-ES"/>
        </w:rPr>
      </w:pPr>
      <w:r w:rsidRPr="00B23210">
        <w:rPr>
          <w:rFonts w:ascii="Arial" w:eastAsia="Arial" w:hAnsi="Arial" w:cs="Arial"/>
          <w:b/>
          <w:bCs/>
          <w:sz w:val="16"/>
          <w:szCs w:val="16"/>
          <w:lang w:val="es-ES" w:eastAsia="es-ES"/>
        </w:rPr>
        <w:t>Acerca de</w:t>
      </w:r>
      <w:r w:rsidR="009E2591">
        <w:rPr>
          <w:rFonts w:ascii="Arial" w:eastAsia="Arial" w:hAnsi="Arial" w:cs="Arial"/>
          <w:b/>
          <w:bCs/>
          <w:sz w:val="16"/>
          <w:szCs w:val="16"/>
          <w:lang w:val="es-ES" w:eastAsia="es-ES"/>
        </w:rPr>
        <w:t>l Centro de Materiales Sostenibles</w:t>
      </w:r>
    </w:p>
    <w:p w14:paraId="0D400450" w14:textId="3F752DCB" w:rsidR="00B23210" w:rsidRDefault="009E2591" w:rsidP="009E2591">
      <w:pPr>
        <w:jc w:val="both"/>
        <w:rPr>
          <w:rFonts w:ascii="Arial" w:eastAsia="Arial" w:hAnsi="Arial" w:cs="Arial"/>
          <w:sz w:val="16"/>
          <w:szCs w:val="16"/>
          <w:lang w:val="es-ES" w:eastAsia="es-ES"/>
        </w:rPr>
      </w:pPr>
      <w:r w:rsidRPr="009E2591">
        <w:rPr>
          <w:rFonts w:ascii="Arial" w:eastAsia="Arial" w:hAnsi="Arial" w:cs="Arial"/>
          <w:sz w:val="16"/>
          <w:szCs w:val="16"/>
          <w:lang w:val="es-ES" w:eastAsia="es-ES"/>
        </w:rPr>
        <w:t xml:space="preserve">El Centro de Materiales Sostenibles es uno de los cuatro ejes del </w:t>
      </w:r>
      <w:proofErr w:type="spellStart"/>
      <w:r w:rsidRPr="009E2591">
        <w:rPr>
          <w:rFonts w:ascii="Arial" w:eastAsia="Arial" w:hAnsi="Arial" w:cs="Arial"/>
          <w:sz w:val="16"/>
          <w:szCs w:val="16"/>
          <w:lang w:val="es-ES" w:eastAsia="es-ES"/>
        </w:rPr>
        <w:t>Parc</w:t>
      </w:r>
      <w:proofErr w:type="spellEnd"/>
      <w:r w:rsidRPr="009E2591">
        <w:rPr>
          <w:rFonts w:ascii="Arial" w:eastAsia="Arial" w:hAnsi="Arial" w:cs="Arial"/>
          <w:sz w:val="16"/>
          <w:szCs w:val="16"/>
          <w:lang w:val="es-ES" w:eastAsia="es-ES"/>
        </w:rPr>
        <w:t xml:space="preserve"> </w:t>
      </w:r>
      <w:proofErr w:type="spellStart"/>
      <w:r w:rsidRPr="009E2591">
        <w:rPr>
          <w:rFonts w:ascii="Arial" w:eastAsia="Arial" w:hAnsi="Arial" w:cs="Arial"/>
          <w:sz w:val="16"/>
          <w:szCs w:val="16"/>
          <w:lang w:val="es-ES" w:eastAsia="es-ES"/>
        </w:rPr>
        <w:t>Cataroux</w:t>
      </w:r>
      <w:proofErr w:type="spellEnd"/>
      <w:r w:rsidRPr="009E2591">
        <w:rPr>
          <w:rFonts w:ascii="Arial" w:eastAsia="Arial" w:hAnsi="Arial" w:cs="Arial"/>
          <w:sz w:val="16"/>
          <w:szCs w:val="16"/>
          <w:lang w:val="es-ES" w:eastAsia="es-ES"/>
        </w:rPr>
        <w:t xml:space="preserve">, un proyecto de revitalización único en Europa dedicado a la innovación en todas sus formas. Su objetivo es desarrollar procesos circulares y de bajo impacto para materiales de base biológica y reciclados. El Centro de Materiales Sostenibles pone a disposición de las startups que acoge su ecosistema, sus competencias y las estructuras adyacentes al emplazamiento de Michelin </w:t>
      </w:r>
      <w:proofErr w:type="spellStart"/>
      <w:r w:rsidRPr="009E2591">
        <w:rPr>
          <w:rFonts w:ascii="Arial" w:eastAsia="Arial" w:hAnsi="Arial" w:cs="Arial"/>
          <w:sz w:val="16"/>
          <w:szCs w:val="16"/>
          <w:lang w:val="es-ES" w:eastAsia="es-ES"/>
        </w:rPr>
        <w:t>Cataroux</w:t>
      </w:r>
      <w:proofErr w:type="spellEnd"/>
      <w:r w:rsidRPr="009E2591">
        <w:rPr>
          <w:rFonts w:ascii="Arial" w:eastAsia="Arial" w:hAnsi="Arial" w:cs="Arial"/>
          <w:sz w:val="16"/>
          <w:szCs w:val="16"/>
          <w:lang w:val="es-ES" w:eastAsia="es-ES"/>
        </w:rPr>
        <w:t xml:space="preserve"> para garantizar las condiciones de un exitoso demostrador industrial.</w:t>
      </w:r>
    </w:p>
    <w:p w14:paraId="434E155B" w14:textId="6732DCA6" w:rsidR="00B23210" w:rsidRDefault="00B23210" w:rsidP="00B23210">
      <w:pPr>
        <w:jc w:val="both"/>
        <w:rPr>
          <w:rFonts w:ascii="Arial" w:eastAsia="Arial" w:hAnsi="Arial" w:cs="Arial"/>
          <w:sz w:val="16"/>
          <w:szCs w:val="16"/>
          <w:lang w:val="es-ES" w:eastAsia="es-ES"/>
        </w:rPr>
      </w:pPr>
    </w:p>
    <w:p w14:paraId="2547BFEC" w14:textId="77777777" w:rsidR="009E2591" w:rsidRDefault="009E2591" w:rsidP="00B23210">
      <w:pPr>
        <w:jc w:val="both"/>
        <w:rPr>
          <w:rFonts w:ascii="Arial" w:eastAsia="Arial" w:hAnsi="Arial" w:cs="Arial"/>
          <w:sz w:val="16"/>
          <w:szCs w:val="16"/>
          <w:lang w:val="es-ES" w:eastAsia="es-ES"/>
        </w:rPr>
      </w:pPr>
    </w:p>
    <w:p w14:paraId="6E36F7A8" w14:textId="473D8AD7" w:rsidR="00B23210" w:rsidRPr="00B23210" w:rsidRDefault="00B23210" w:rsidP="00B23210">
      <w:pPr>
        <w:jc w:val="both"/>
        <w:rPr>
          <w:rFonts w:ascii="Arial" w:hAnsi="Arial" w:cs="Arial"/>
          <w:b/>
          <w:bCs/>
          <w:iCs/>
          <w:sz w:val="16"/>
          <w:szCs w:val="16"/>
          <w:lang w:val="es-ES"/>
        </w:rPr>
      </w:pPr>
      <w:r w:rsidRPr="00B23210">
        <w:rPr>
          <w:rFonts w:ascii="Arial" w:hAnsi="Arial" w:cs="Arial"/>
          <w:b/>
          <w:bCs/>
          <w:iCs/>
          <w:sz w:val="16"/>
          <w:szCs w:val="16"/>
          <w:lang w:val="es-ES"/>
        </w:rPr>
        <w:t xml:space="preserve">Acerca de </w:t>
      </w:r>
      <w:r w:rsidR="009E2591">
        <w:rPr>
          <w:rFonts w:ascii="Arial" w:hAnsi="Arial" w:cs="Arial"/>
          <w:b/>
          <w:bCs/>
          <w:iCs/>
          <w:sz w:val="16"/>
          <w:szCs w:val="16"/>
          <w:lang w:val="es-ES"/>
        </w:rPr>
        <w:t>bobine</w:t>
      </w:r>
    </w:p>
    <w:p w14:paraId="4DB92158" w14:textId="6E048148" w:rsidR="009E2591" w:rsidRPr="009E2591" w:rsidRDefault="009E2591" w:rsidP="00082115">
      <w:pPr>
        <w:jc w:val="both"/>
        <w:rPr>
          <w:rFonts w:ascii="Arial" w:hAnsi="Arial" w:cs="Arial"/>
          <w:iCs/>
          <w:sz w:val="16"/>
          <w:szCs w:val="16"/>
          <w:lang w:val="es-ES"/>
        </w:rPr>
      </w:pPr>
      <w:r w:rsidRPr="009E2591">
        <w:rPr>
          <w:rFonts w:ascii="Arial" w:hAnsi="Arial" w:cs="Arial"/>
          <w:iCs/>
          <w:sz w:val="16"/>
          <w:szCs w:val="16"/>
          <w:lang w:val="es-ES"/>
        </w:rPr>
        <w:t>La tecnología de bobine fue desarrollada por el Instituto de Química y Procesos para la Energía, el Medio Ambiente y la Salud (ICPEES, UMR 7515), una unidad conjunta de investigación basada en una asociación entre el Consejo Nacional de Investigación francés (CNRS) y la Universidad de Estrasburgo (</w:t>
      </w:r>
      <w:proofErr w:type="spellStart"/>
      <w:r w:rsidRPr="009E2591">
        <w:rPr>
          <w:rFonts w:ascii="Arial" w:hAnsi="Arial" w:cs="Arial"/>
          <w:iCs/>
          <w:sz w:val="16"/>
          <w:szCs w:val="16"/>
          <w:lang w:val="es-ES"/>
        </w:rPr>
        <w:t>UdS</w:t>
      </w:r>
      <w:proofErr w:type="spellEnd"/>
      <w:r w:rsidRPr="009E2591">
        <w:rPr>
          <w:rFonts w:ascii="Arial" w:hAnsi="Arial" w:cs="Arial"/>
          <w:iCs/>
          <w:sz w:val="16"/>
          <w:szCs w:val="16"/>
          <w:lang w:val="es-ES"/>
        </w:rPr>
        <w:t>)</w:t>
      </w:r>
      <w:r>
        <w:rPr>
          <w:rFonts w:ascii="Arial" w:hAnsi="Arial" w:cs="Arial"/>
          <w:iCs/>
          <w:sz w:val="16"/>
          <w:szCs w:val="16"/>
          <w:lang w:val="es-ES"/>
        </w:rPr>
        <w:t xml:space="preserve">. </w:t>
      </w:r>
      <w:r w:rsidRPr="009E2591">
        <w:rPr>
          <w:rFonts w:ascii="Arial" w:hAnsi="Arial" w:cs="Arial"/>
          <w:iCs/>
          <w:sz w:val="16"/>
          <w:szCs w:val="16"/>
          <w:lang w:val="es-ES"/>
        </w:rPr>
        <w:t xml:space="preserve">Tras tres años de I+D, se registró una patente para la tecnología, propiedad del SNRS y de dos empresas industriales que contribuyeron a su desarrollo: SICAT y BLACKLEAF. Los dos industriales decidieron fundar la empresa bobine para el desarrollo y la industrialización de esta tecnología. SATT CONECTUS </w:t>
      </w:r>
      <w:proofErr w:type="spellStart"/>
      <w:r w:rsidRPr="009E2591">
        <w:rPr>
          <w:rFonts w:ascii="Arial" w:hAnsi="Arial" w:cs="Arial"/>
          <w:iCs/>
          <w:sz w:val="16"/>
          <w:szCs w:val="16"/>
          <w:lang w:val="es-ES"/>
        </w:rPr>
        <w:t>Alsace</w:t>
      </w:r>
      <w:proofErr w:type="spellEnd"/>
      <w:r w:rsidRPr="009E2591">
        <w:rPr>
          <w:rFonts w:ascii="Arial" w:hAnsi="Arial" w:cs="Arial"/>
          <w:iCs/>
          <w:sz w:val="16"/>
          <w:szCs w:val="16"/>
          <w:lang w:val="es-ES"/>
        </w:rPr>
        <w:t>, administrador de la patente, ha concedido a bobine una licencia exclusiva para explotarla.</w:t>
      </w:r>
      <w:r w:rsidR="00265651">
        <w:rPr>
          <w:rFonts w:ascii="Arial" w:hAnsi="Arial" w:cs="Arial"/>
          <w:iCs/>
          <w:sz w:val="16"/>
          <w:szCs w:val="16"/>
          <w:lang w:val="es-ES"/>
        </w:rPr>
        <w:t xml:space="preserve"> </w:t>
      </w:r>
      <w:r w:rsidRPr="009E2591">
        <w:rPr>
          <w:rFonts w:ascii="Arial" w:hAnsi="Arial" w:cs="Arial"/>
          <w:iCs/>
          <w:sz w:val="16"/>
          <w:szCs w:val="16"/>
          <w:lang w:val="es-ES"/>
        </w:rPr>
        <w:t xml:space="preserve">Mediante esta licencia, bobine pretende desarrollar una tecnología de reciclado químico de plásticos que permita producir polímeros de alta calidad a partir de residuos plásticos no reciclables. Esta tecnología, que utiliza la catálisis heterogénea y la inducción electromagnética, permite la producción a gran escala de olefinas (etileno, propileno) a partir de residuos sin necesidad de un </w:t>
      </w:r>
      <w:proofErr w:type="spellStart"/>
      <w:r w:rsidRPr="009E2591">
        <w:rPr>
          <w:rFonts w:ascii="Arial" w:hAnsi="Arial" w:cs="Arial"/>
          <w:iCs/>
          <w:sz w:val="16"/>
          <w:szCs w:val="16"/>
          <w:lang w:val="es-ES"/>
        </w:rPr>
        <w:t>craqueador</w:t>
      </w:r>
      <w:proofErr w:type="spellEnd"/>
      <w:r w:rsidRPr="009E2591">
        <w:rPr>
          <w:rFonts w:ascii="Arial" w:hAnsi="Arial" w:cs="Arial"/>
          <w:iCs/>
          <w:sz w:val="16"/>
          <w:szCs w:val="16"/>
          <w:lang w:val="es-ES"/>
        </w:rPr>
        <w:t xml:space="preserve"> de vapor. Los beneficios del análisis del ciclo medioambiental y de la evaluación del ciclo de vida representan una importante oportunidad para el sector del reciclado de plásticos, sobre todo en lo que se refiere a los plásticos reciclados aptos para componentes de "grado alimentario".</w:t>
      </w:r>
    </w:p>
    <w:p w14:paraId="044C7C1C" w14:textId="0541EFA1" w:rsidR="009E2591" w:rsidRDefault="009E2591" w:rsidP="00082115">
      <w:pPr>
        <w:jc w:val="both"/>
        <w:rPr>
          <w:rFonts w:ascii="Arial" w:hAnsi="Arial" w:cs="Arial"/>
          <w:b/>
          <w:bCs/>
          <w:iCs/>
          <w:sz w:val="16"/>
          <w:szCs w:val="16"/>
          <w:lang w:val="es-ES"/>
        </w:rPr>
      </w:pPr>
    </w:p>
    <w:p w14:paraId="4D92A278" w14:textId="77777777" w:rsidR="009E2591" w:rsidRPr="00B23210" w:rsidRDefault="009E2591" w:rsidP="00082115">
      <w:pPr>
        <w:jc w:val="both"/>
        <w:rPr>
          <w:rFonts w:ascii="Arial" w:hAnsi="Arial" w:cs="Arial"/>
          <w:b/>
          <w:bCs/>
          <w:iCs/>
          <w:sz w:val="16"/>
          <w:szCs w:val="16"/>
          <w:lang w:val="es-ES"/>
        </w:rPr>
      </w:pPr>
    </w:p>
    <w:p w14:paraId="0C4D8941" w14:textId="534F4BA4" w:rsidR="00082115" w:rsidRPr="004C6D0A" w:rsidRDefault="00082115" w:rsidP="00082115">
      <w:pPr>
        <w:jc w:val="both"/>
        <w:rPr>
          <w:rFonts w:ascii="Arial" w:hAnsi="Arial" w:cs="Arial"/>
          <w:b/>
          <w:bCs/>
          <w:iCs/>
          <w:sz w:val="16"/>
          <w:szCs w:val="16"/>
          <w:lang w:val="es-ES"/>
        </w:rPr>
      </w:pPr>
      <w:r>
        <w:rPr>
          <w:rFonts w:ascii="Arial" w:hAnsi="Arial" w:cs="Arial"/>
          <w:b/>
          <w:bCs/>
          <w:iCs/>
          <w:sz w:val="16"/>
          <w:szCs w:val="16"/>
          <w:lang w:val="es-ES"/>
        </w:rPr>
        <w:t>Acerca de Michelin</w:t>
      </w:r>
    </w:p>
    <w:p w14:paraId="1597344B" w14:textId="3DB8F269" w:rsidR="00082115" w:rsidRDefault="00082115" w:rsidP="00082115">
      <w:pPr>
        <w:jc w:val="both"/>
        <w:rPr>
          <w:rFonts w:ascii="Arial" w:hAnsi="Arial" w:cs="Arial"/>
          <w:iCs/>
          <w:sz w:val="16"/>
          <w:szCs w:val="16"/>
          <w:lang w:val="es-ES"/>
        </w:rPr>
      </w:pPr>
      <w:r w:rsidRPr="009A43CE">
        <w:rPr>
          <w:rFonts w:ascii="Arial" w:hAnsi="Arial" w:cs="Arial"/>
          <w:iCs/>
          <w:sz w:val="16"/>
          <w:szCs w:val="16"/>
          <w:lang w:val="es-ES"/>
        </w:rPr>
        <w:t>Michelin tiene la ambición de mejorar de manera sostenible la movilidad de sus clientes. Líder del sector del neumático, Michelin diseña, fabrica y distribuye los neumáticos más adaptados a las necesidades y a los diferentes usos de sus clientes, así como servicios y soluciones para mejorar la eficacia del transporte. Michelin ofrece igualmente a sus clientes experiencias únicas en sus viajes y desplazamientos. Michelin desarrolla también materiales de alta tecnología para diversas utilizaciones. Con sede en Clermont-Ferrand (Francia), Michelin está presente en 17</w:t>
      </w:r>
      <w:r>
        <w:rPr>
          <w:rFonts w:ascii="Arial" w:hAnsi="Arial" w:cs="Arial"/>
          <w:iCs/>
          <w:sz w:val="16"/>
          <w:szCs w:val="16"/>
          <w:lang w:val="es-ES"/>
        </w:rPr>
        <w:t>5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países, emplea a 1</w:t>
      </w:r>
      <w:r>
        <w:rPr>
          <w:rFonts w:ascii="Arial" w:hAnsi="Arial" w:cs="Arial"/>
          <w:iCs/>
          <w:sz w:val="16"/>
          <w:szCs w:val="16"/>
          <w:lang w:val="es-ES"/>
        </w:rPr>
        <w:t>32</w:t>
      </w:r>
      <w:r w:rsidRPr="009A43CE">
        <w:rPr>
          <w:rFonts w:ascii="Arial" w:hAnsi="Arial" w:cs="Arial"/>
          <w:iCs/>
          <w:sz w:val="16"/>
          <w:szCs w:val="16"/>
          <w:lang w:val="es-ES"/>
        </w:rPr>
        <w:t>.</w:t>
      </w:r>
      <w:r>
        <w:rPr>
          <w:rFonts w:ascii="Arial" w:hAnsi="Arial" w:cs="Arial"/>
          <w:iCs/>
          <w:sz w:val="16"/>
          <w:szCs w:val="16"/>
          <w:lang w:val="es-ES"/>
        </w:rPr>
        <w:t>000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personas y dispone de </w:t>
      </w:r>
      <w:r>
        <w:rPr>
          <w:rFonts w:ascii="Arial" w:hAnsi="Arial" w:cs="Arial"/>
          <w:iCs/>
          <w:sz w:val="16"/>
          <w:szCs w:val="16"/>
          <w:lang w:val="es-ES"/>
        </w:rPr>
        <w:t>67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centros de producción que en 202</w:t>
      </w:r>
      <w:r>
        <w:rPr>
          <w:rFonts w:ascii="Arial" w:hAnsi="Arial" w:cs="Arial"/>
          <w:iCs/>
          <w:sz w:val="16"/>
          <w:szCs w:val="16"/>
          <w:lang w:val="es-ES"/>
        </w:rPr>
        <w:t>2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han fabricado </w:t>
      </w:r>
      <w:r>
        <w:rPr>
          <w:rFonts w:ascii="Arial" w:hAnsi="Arial" w:cs="Arial"/>
          <w:iCs/>
          <w:sz w:val="16"/>
          <w:szCs w:val="16"/>
          <w:lang w:val="es-ES"/>
        </w:rPr>
        <w:t>alrededor de 200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millones de neumáticos (</w:t>
      </w:r>
      <w:hyperlink r:id="rId8" w:history="1">
        <w:r w:rsidRPr="009A43CE">
          <w:rPr>
            <w:rStyle w:val="Hipervnculo"/>
            <w:rFonts w:ascii="Arial" w:hAnsi="Arial" w:cs="Arial"/>
            <w:iCs/>
            <w:sz w:val="16"/>
            <w:szCs w:val="16"/>
            <w:lang w:val="es-ES"/>
          </w:rPr>
          <w:t>www.michelin.es</w:t>
        </w:r>
      </w:hyperlink>
      <w:r w:rsidRPr="009A43CE">
        <w:rPr>
          <w:rFonts w:ascii="Arial" w:hAnsi="Arial" w:cs="Arial"/>
          <w:iCs/>
          <w:sz w:val="16"/>
          <w:szCs w:val="16"/>
          <w:lang w:val="es-ES"/>
        </w:rPr>
        <w:t>).</w:t>
      </w:r>
    </w:p>
    <w:p w14:paraId="7B386C93" w14:textId="3EAA39B7" w:rsidR="00B23210" w:rsidRDefault="00B23210" w:rsidP="00082115">
      <w:pPr>
        <w:jc w:val="both"/>
        <w:rPr>
          <w:rFonts w:ascii="Arial" w:hAnsi="Arial" w:cs="Arial"/>
          <w:iCs/>
          <w:sz w:val="16"/>
          <w:szCs w:val="16"/>
          <w:lang w:val="es-ES"/>
        </w:rPr>
      </w:pPr>
    </w:p>
    <w:p w14:paraId="7395BD20" w14:textId="5ABEE47C" w:rsidR="0052344F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8503D44" w14:textId="77777777" w:rsidR="007B2E2B" w:rsidRPr="006D4CB8" w:rsidRDefault="007B2E2B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4755F9F" w14:textId="05E23D1E" w:rsidR="0052344F" w:rsidRPr="00833986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A95EF5B" w14:textId="77777777" w:rsidR="007A3D45" w:rsidRPr="00833986" w:rsidRDefault="007A3D45" w:rsidP="007A3D45">
      <w:pPr>
        <w:spacing w:line="276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833986">
        <w:rPr>
          <w:rFonts w:ascii="Arial" w:hAnsi="Arial" w:cs="Arial"/>
          <w:sz w:val="20"/>
          <w:szCs w:val="20"/>
          <w:lang w:val="es-ES"/>
        </w:rPr>
        <w:t>DEPARTAMENTO DE COMUNICACIÓN CORPORATIVA</w:t>
      </w:r>
    </w:p>
    <w:p w14:paraId="750C5A76" w14:textId="77777777" w:rsidR="007A3D45" w:rsidRPr="00833986" w:rsidRDefault="007A3D45" w:rsidP="007A3D45">
      <w:pPr>
        <w:tabs>
          <w:tab w:val="left" w:pos="2780"/>
          <w:tab w:val="center" w:pos="4513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833986">
        <w:rPr>
          <w:rFonts w:ascii="Arial" w:hAnsi="Arial" w:cs="Arial"/>
          <w:b/>
          <w:bCs/>
          <w:sz w:val="20"/>
          <w:szCs w:val="20"/>
          <w:lang w:val="es-ES"/>
        </w:rPr>
        <w:t>+34 6</w:t>
      </w:r>
      <w:r>
        <w:rPr>
          <w:rFonts w:ascii="Arial" w:hAnsi="Arial" w:cs="Arial"/>
          <w:b/>
          <w:bCs/>
          <w:sz w:val="20"/>
          <w:szCs w:val="20"/>
          <w:lang w:val="es-ES"/>
        </w:rPr>
        <w:t>18 525 277</w:t>
      </w:r>
    </w:p>
    <w:p w14:paraId="75F749FD" w14:textId="77777777" w:rsidR="007A3D45" w:rsidRPr="00833986" w:rsidRDefault="00000000" w:rsidP="007A3D45">
      <w:pPr>
        <w:spacing w:line="276" w:lineRule="auto"/>
        <w:jc w:val="center"/>
        <w:rPr>
          <w:rFonts w:ascii="Arial" w:hAnsi="Arial" w:cs="Arial"/>
          <w:color w:val="0000FF"/>
          <w:sz w:val="20"/>
          <w:szCs w:val="20"/>
          <w:u w:val="single"/>
          <w:lang w:val="es-ES"/>
        </w:rPr>
      </w:pPr>
      <w:hyperlink r:id="rId9" w:tgtFrame="_blank" w:history="1">
        <w:r w:rsidR="007A3D45" w:rsidRPr="00833986">
          <w:rPr>
            <w:rStyle w:val="Hipervnculo"/>
            <w:rFonts w:ascii="Arial" w:hAnsi="Arial" w:cs="Arial"/>
            <w:sz w:val="20"/>
            <w:szCs w:val="20"/>
            <w:lang w:val="es-ES"/>
          </w:rPr>
          <w:t>jose.saura-vinssac@michelin.com</w:t>
        </w:r>
      </w:hyperlink>
    </w:p>
    <w:p w14:paraId="317387A1" w14:textId="77777777" w:rsidR="007A3D45" w:rsidRPr="00833986" w:rsidRDefault="007A3D45" w:rsidP="007A3D45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833986">
        <w:rPr>
          <w:rFonts w:ascii="Arial" w:hAnsi="Arial" w:cs="Arial"/>
          <w:noProof/>
          <w:sz w:val="20"/>
          <w:szCs w:val="20"/>
          <w:lang w:val="es-ES"/>
        </w:rPr>
        <w:drawing>
          <wp:inline distT="0" distB="0" distL="0" distR="0" wp14:anchorId="235FCD9A" wp14:editId="2D5F60B7">
            <wp:extent cx="1612265" cy="177730"/>
            <wp:effectExtent l="0" t="0" r="635" b="635"/>
            <wp:docPr id="1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A3D45" w:rsidRPr="00833986" w14:paraId="39CAB30F" w14:textId="77777777" w:rsidTr="00C64BBD">
        <w:tc>
          <w:tcPr>
            <w:tcW w:w="9016" w:type="dxa"/>
          </w:tcPr>
          <w:p w14:paraId="3826FC43" w14:textId="77777777" w:rsidR="007A3D45" w:rsidRPr="00833986" w:rsidRDefault="00000000" w:rsidP="00C64BB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val="es-ES"/>
              </w:rPr>
            </w:pPr>
            <w:hyperlink r:id="rId12" w:history="1">
              <w:r w:rsidR="007A3D45" w:rsidRPr="00FA4C66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www.michelin.es</w:t>
              </w:r>
            </w:hyperlink>
          </w:p>
          <w:p w14:paraId="4AA868D6" w14:textId="77777777" w:rsidR="007A3D45" w:rsidRPr="00833986" w:rsidRDefault="007A3D45" w:rsidP="00C64BBD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es-ES"/>
              </w:rPr>
            </w:pPr>
          </w:p>
        </w:tc>
      </w:tr>
      <w:tr w:rsidR="007A3D45" w:rsidRPr="00833986" w14:paraId="3DCEA8A1" w14:textId="77777777" w:rsidTr="00C64BBD">
        <w:tc>
          <w:tcPr>
            <w:tcW w:w="9016" w:type="dxa"/>
          </w:tcPr>
          <w:p w14:paraId="30440DB5" w14:textId="4BD650FE" w:rsidR="007A3D45" w:rsidRPr="00E24313" w:rsidRDefault="00B7352C" w:rsidP="00E24313">
            <w:pPr>
              <w:ind w:left="360"/>
              <w:jc w:val="center"/>
              <w:rPr>
                <w:rFonts w:ascii="Arial" w:hAnsi="Arial" w:cs="Arial"/>
                <w:color w:val="08519D"/>
                <w:sz w:val="20"/>
                <w:szCs w:val="20"/>
                <w:lang w:val="es-ES"/>
              </w:rPr>
            </w:pPr>
            <w:r w:rsidRPr="00B7352C">
              <w:rPr>
                <w:rFonts w:ascii="Arial" w:hAnsi="Arial" w:cs="Arial"/>
                <w:noProof/>
                <w:lang w:val="es-ES"/>
              </w:rPr>
              <w:pict w14:anchorId="5C5DEBCF">
                <v:shape id="Imagen 2" o:spid="_x0000_i1025" type="#_x0000_t75" alt="" style="width:10.55pt;height:10.55pt;visibility:visible;mso-wrap-style:square;mso-width-percent:0;mso-height-percent:0;mso-width-percent:0;mso-height-percent:0" o:bullet="t">
                  <v:imagedata r:id="rId13" o:title=""/>
                  <o:lock v:ext="edit" aspectratio="f"/>
                </v:shape>
              </w:pict>
            </w:r>
            <w:r w:rsidR="00AC31D6">
              <w:fldChar w:fldCharType="begin"/>
            </w:r>
            <w:r w:rsidR="00AC31D6">
              <w:instrText>HYPERLINK "https://twitter.com/MichelinNews"</w:instrText>
            </w:r>
            <w:r w:rsidR="00AC31D6">
              <w:fldChar w:fldCharType="separate"/>
            </w:r>
            <w:r w:rsidR="007A3D45" w:rsidRPr="00E24313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@MichelinNews</w:t>
            </w:r>
            <w:r w:rsidR="00AC31D6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fldChar w:fldCharType="end"/>
            </w:r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="007A3D45" w:rsidRPr="00833986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59DCE51A" wp14:editId="04D382D2">
                  <wp:extent cx="119575" cy="119575"/>
                  <wp:effectExtent l="0" t="0" r="0" b="0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1" cy="12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5" w:history="1">
              <w:r w:rsidR="007A3D45" w:rsidRPr="00E24313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@Michelinespana</w:t>
              </w:r>
            </w:hyperlink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="007A3D45" w:rsidRPr="00833986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6B6C8DAA" wp14:editId="3E83955D">
                  <wp:extent cx="105654" cy="105654"/>
                  <wp:effectExtent l="0" t="0" r="0" b="0"/>
                  <wp:docPr id="100009" name="Imagen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5" cy="10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7" w:history="1">
              <w:r w:rsidR="007A3D45" w:rsidRPr="00E24313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@Michelinespana</w:t>
              </w:r>
            </w:hyperlink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="007A3D45" w:rsidRPr="00833986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5905EC1F" wp14:editId="0E87A50C">
                  <wp:extent cx="122213" cy="122213"/>
                  <wp:effectExtent l="0" t="0" r="5080" b="5080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19" cy="12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9" w:history="1">
              <w:r w:rsidR="007A3D45" w:rsidRPr="00E24313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</w:t>
              </w:r>
            </w:hyperlink>
          </w:p>
        </w:tc>
      </w:tr>
    </w:tbl>
    <w:p w14:paraId="3C27F417" w14:textId="77777777" w:rsidR="007A3D45" w:rsidRPr="00833986" w:rsidRDefault="007A3D45" w:rsidP="007A3D45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4436266" w14:textId="582DAA42" w:rsidR="00E24313" w:rsidRPr="006D4CB8" w:rsidRDefault="007A3D45" w:rsidP="009E259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Glorieta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Bibendum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nº1 – 47009 Valladolid </w:t>
      </w:r>
      <w:r w:rsidRPr="00833986">
        <w:rPr>
          <w:rFonts w:ascii="Arial" w:hAnsi="Arial" w:cs="Arial"/>
          <w:sz w:val="20"/>
          <w:szCs w:val="20"/>
          <w:lang w:val="es-ES"/>
        </w:rPr>
        <w:t xml:space="preserve">– </w:t>
      </w:r>
      <w:r w:rsidRPr="006D4CB8">
        <w:rPr>
          <w:rFonts w:ascii="Arial" w:hAnsi="Arial" w:cs="Arial"/>
          <w:lang w:val="es-ES"/>
        </w:rPr>
        <w:t xml:space="preserve"> ESPAÑA</w:t>
      </w:r>
    </w:p>
    <w:sectPr w:rsidR="00E24313" w:rsidRPr="006D4CB8" w:rsidSect="006C3818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-1770" w:right="1440" w:bottom="1310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28BA" w14:textId="77777777" w:rsidR="00B7352C" w:rsidRDefault="00B7352C" w:rsidP="00F24D98">
      <w:r>
        <w:separator/>
      </w:r>
    </w:p>
  </w:endnote>
  <w:endnote w:type="continuationSeparator" w:id="0">
    <w:p w14:paraId="48B2EDA9" w14:textId="77777777" w:rsidR="00B7352C" w:rsidRDefault="00B7352C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helin Unit Titling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Michelin"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80B1" w14:textId="77777777" w:rsidR="00B7352C" w:rsidRDefault="00B7352C" w:rsidP="00F24D98">
      <w:r>
        <w:separator/>
      </w:r>
    </w:p>
  </w:footnote>
  <w:footnote w:type="continuationSeparator" w:id="0">
    <w:p w14:paraId="30832078" w14:textId="77777777" w:rsidR="00B7352C" w:rsidRDefault="00B7352C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4A5B" w14:textId="55C91CDB" w:rsidR="00B36FEE" w:rsidRDefault="001A4103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F7689E6" wp14:editId="31EA87E1">
          <wp:simplePos x="0" y="0"/>
          <wp:positionH relativeFrom="column">
            <wp:posOffset>1538715</wp:posOffset>
          </wp:positionH>
          <wp:positionV relativeFrom="paragraph">
            <wp:posOffset>170267</wp:posOffset>
          </wp:positionV>
          <wp:extent cx="2457450" cy="6540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AE4505A" w14:textId="45512A1B" w:rsidR="00C53F0C" w:rsidRPr="00C53F0C" w:rsidRDefault="00C53F0C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4F5A" w14:textId="49459B24" w:rsidR="001963B1" w:rsidRDefault="00F23D2E" w:rsidP="006C44F0">
    <w:pPr>
      <w:pStyle w:val="Encabezado"/>
      <w:ind w:left="-1418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C6736A6" wp14:editId="7DAD1EF7">
          <wp:simplePos x="0" y="0"/>
          <wp:positionH relativeFrom="column">
            <wp:posOffset>1776334</wp:posOffset>
          </wp:positionH>
          <wp:positionV relativeFrom="paragraph">
            <wp:posOffset>186690</wp:posOffset>
          </wp:positionV>
          <wp:extent cx="2457450" cy="6540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778DE"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0B4D6" wp14:editId="3C0F7673">
              <wp:simplePos x="0" y="0"/>
              <wp:positionH relativeFrom="page">
                <wp:posOffset>2463165</wp:posOffset>
              </wp:positionH>
              <wp:positionV relativeFrom="paragraph">
                <wp:posOffset>748359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C90E7" w14:textId="078B0F2F" w:rsidR="000B3F91" w:rsidRPr="00B23210" w:rsidRDefault="00BE269E" w:rsidP="000B3F91">
                          <w:pPr>
                            <w:jc w:val="center"/>
                            <w:rPr>
                              <w:rFonts w:ascii="Michelin" w:hAnsi="Michelin"/>
                              <w:color w:val="575757"/>
                              <w:lang w:val="es-ES"/>
                            </w:rPr>
                          </w:pPr>
                          <w:r w:rsidRPr="00B23210">
                            <w:rPr>
                              <w:rFonts w:ascii="Michelin" w:hAnsi="Michelin"/>
                              <w:color w:val="575757"/>
                              <w:lang w:val="es-ES"/>
                            </w:rPr>
                            <w:t>Información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0B4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93.95pt;margin-top:58.95pt;width:234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" fillcolor="white [3201]" stroked="f" strokeweight=".5pt">
              <v:textbox>
                <w:txbxContent>
                  <w:p w14:paraId="5ECC90E7" w14:textId="078B0F2F" w:rsidR="000B3F91" w:rsidRPr="00B23210" w:rsidRDefault="00BE269E" w:rsidP="000B3F91">
                    <w:pPr>
                      <w:jc w:val="center"/>
                      <w:rPr>
                        <w:rFonts w:ascii="Michelin" w:hAnsi="Michelin"/>
                        <w:color w:val="575757"/>
                        <w:lang w:val="es-ES"/>
                      </w:rPr>
                    </w:pPr>
                    <w:r w:rsidRPr="00B23210">
                      <w:rPr>
                        <w:rFonts w:ascii="Michelin" w:hAnsi="Michelin"/>
                        <w:color w:val="575757"/>
                        <w:lang w:val="es-ES"/>
                      </w:rPr>
                      <w:t>Información de prensa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6FEE"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079E5" wp14:editId="4DD33B40">
              <wp:simplePos x="0" y="0"/>
              <wp:positionH relativeFrom="page">
                <wp:posOffset>426787</wp:posOffset>
              </wp:positionH>
              <wp:positionV relativeFrom="paragraph">
                <wp:posOffset>1083439</wp:posOffset>
              </wp:positionV>
              <wp:extent cx="1666959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959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CAE9F" w14:textId="6E5F2189" w:rsidR="003F197B" w:rsidRPr="00B23210" w:rsidRDefault="00594F5C" w:rsidP="003F197B">
                          <w:pPr>
                            <w:jc w:val="center"/>
                            <w:rPr>
                              <w:rFonts w:ascii="Michelin" w:hAnsi="Michelin"/>
                              <w:color w:val="575757"/>
                            </w:rPr>
                          </w:pPr>
                          <w:r w:rsidRPr="00B23210">
                            <w:rPr>
                              <w:rFonts w:ascii="Michelin" w:hAnsi="Michelin"/>
                              <w:color w:val="575757"/>
                            </w:rPr>
                            <w:t>CORPORATIVO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079E5" id="Text Box 2" o:spid="_x0000_s1027" type="#_x0000_t202" style="position:absolute;left:0;text-align:left;margin-left:33.6pt;margin-top:85.3pt;width:131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" fillcolor="white [3201]" stroked="f" strokeweight=".5pt">
              <v:textbox>
                <w:txbxContent>
                  <w:p w14:paraId="239CAE9F" w14:textId="6E5F2189" w:rsidR="003F197B" w:rsidRPr="00B23210" w:rsidRDefault="00594F5C" w:rsidP="003F197B">
                    <w:pPr>
                      <w:jc w:val="center"/>
                      <w:rPr>
                        <w:rFonts w:ascii="Michelin" w:hAnsi="Michelin"/>
                        <w:color w:val="575757"/>
                      </w:rPr>
                    </w:pPr>
                    <w:r w:rsidRPr="00B23210">
                      <w:rPr>
                        <w:rFonts w:ascii="Michelin" w:hAnsi="Michelin"/>
                        <w:color w:val="575757"/>
                      </w:rPr>
                      <w:t>CORPORATIVO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6FEE">
      <w:rPr>
        <w:noProof/>
      </w:rPr>
      <w:drawing>
        <wp:anchor distT="0" distB="0" distL="114300" distR="114300" simplePos="0" relativeHeight="251664384" behindDoc="0" locked="0" layoutInCell="1" allowOverlap="1" wp14:anchorId="2B5BC1A7" wp14:editId="706355DE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5.3pt;height:189.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4B4550A"/>
    <w:multiLevelType w:val="hybridMultilevel"/>
    <w:tmpl w:val="52364DB8"/>
    <w:lvl w:ilvl="0" w:tplc="F3C45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A8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4B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C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01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A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0E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C1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46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36485">
    <w:abstractNumId w:val="2"/>
  </w:num>
  <w:num w:numId="2" w16cid:durableId="1177698808">
    <w:abstractNumId w:val="1"/>
  </w:num>
  <w:num w:numId="3" w16cid:durableId="53551096">
    <w:abstractNumId w:val="3"/>
  </w:num>
  <w:num w:numId="4" w16cid:durableId="16260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34081"/>
    <w:rsid w:val="000614D3"/>
    <w:rsid w:val="000778DE"/>
    <w:rsid w:val="00082115"/>
    <w:rsid w:val="000A5386"/>
    <w:rsid w:val="000B3F91"/>
    <w:rsid w:val="000C09D6"/>
    <w:rsid w:val="00112957"/>
    <w:rsid w:val="001162A2"/>
    <w:rsid w:val="00116A1A"/>
    <w:rsid w:val="00154400"/>
    <w:rsid w:val="00170CB5"/>
    <w:rsid w:val="001712BA"/>
    <w:rsid w:val="00186CCB"/>
    <w:rsid w:val="001963B1"/>
    <w:rsid w:val="001A0040"/>
    <w:rsid w:val="001A4103"/>
    <w:rsid w:val="001D57AF"/>
    <w:rsid w:val="001E520E"/>
    <w:rsid w:val="0021595A"/>
    <w:rsid w:val="002462B9"/>
    <w:rsid w:val="00262F8B"/>
    <w:rsid w:val="00265651"/>
    <w:rsid w:val="00274DC8"/>
    <w:rsid w:val="00387E23"/>
    <w:rsid w:val="003930CA"/>
    <w:rsid w:val="00395651"/>
    <w:rsid w:val="003C3FC0"/>
    <w:rsid w:val="003C419D"/>
    <w:rsid w:val="003F197B"/>
    <w:rsid w:val="00414F37"/>
    <w:rsid w:val="00416DE4"/>
    <w:rsid w:val="0042207B"/>
    <w:rsid w:val="00422E33"/>
    <w:rsid w:val="00422FAA"/>
    <w:rsid w:val="004237CD"/>
    <w:rsid w:val="0044379B"/>
    <w:rsid w:val="0045418F"/>
    <w:rsid w:val="00471963"/>
    <w:rsid w:val="00493386"/>
    <w:rsid w:val="004A7A65"/>
    <w:rsid w:val="004C6A8C"/>
    <w:rsid w:val="004D2A1B"/>
    <w:rsid w:val="004E3294"/>
    <w:rsid w:val="004E4143"/>
    <w:rsid w:val="00511304"/>
    <w:rsid w:val="00523432"/>
    <w:rsid w:val="0052344F"/>
    <w:rsid w:val="00523D3C"/>
    <w:rsid w:val="00572127"/>
    <w:rsid w:val="00594F5C"/>
    <w:rsid w:val="005B00AE"/>
    <w:rsid w:val="006920B7"/>
    <w:rsid w:val="006C3818"/>
    <w:rsid w:val="006C44F0"/>
    <w:rsid w:val="006C7776"/>
    <w:rsid w:val="006D398C"/>
    <w:rsid w:val="006D4CB8"/>
    <w:rsid w:val="00707806"/>
    <w:rsid w:val="007A3D45"/>
    <w:rsid w:val="007B2E2B"/>
    <w:rsid w:val="007E08F6"/>
    <w:rsid w:val="007E51AC"/>
    <w:rsid w:val="007F37A6"/>
    <w:rsid w:val="00802F0B"/>
    <w:rsid w:val="00816BB1"/>
    <w:rsid w:val="00833986"/>
    <w:rsid w:val="00834943"/>
    <w:rsid w:val="0083779A"/>
    <w:rsid w:val="00842005"/>
    <w:rsid w:val="0085450A"/>
    <w:rsid w:val="00877AE5"/>
    <w:rsid w:val="00896430"/>
    <w:rsid w:val="008B072F"/>
    <w:rsid w:val="008F3690"/>
    <w:rsid w:val="008F5893"/>
    <w:rsid w:val="0093532F"/>
    <w:rsid w:val="00951413"/>
    <w:rsid w:val="009969D4"/>
    <w:rsid w:val="009E2591"/>
    <w:rsid w:val="00A010E6"/>
    <w:rsid w:val="00A05352"/>
    <w:rsid w:val="00A133C9"/>
    <w:rsid w:val="00A6279B"/>
    <w:rsid w:val="00A72ECA"/>
    <w:rsid w:val="00A75B5C"/>
    <w:rsid w:val="00AB5624"/>
    <w:rsid w:val="00AC0E74"/>
    <w:rsid w:val="00AC31D6"/>
    <w:rsid w:val="00B05B19"/>
    <w:rsid w:val="00B13DD6"/>
    <w:rsid w:val="00B23210"/>
    <w:rsid w:val="00B32BCE"/>
    <w:rsid w:val="00B361FB"/>
    <w:rsid w:val="00B36FEE"/>
    <w:rsid w:val="00B45C21"/>
    <w:rsid w:val="00B7352C"/>
    <w:rsid w:val="00B74B2C"/>
    <w:rsid w:val="00B97B28"/>
    <w:rsid w:val="00BC2889"/>
    <w:rsid w:val="00BE269E"/>
    <w:rsid w:val="00BF30E7"/>
    <w:rsid w:val="00C53F0C"/>
    <w:rsid w:val="00CC6BAF"/>
    <w:rsid w:val="00CE1C9A"/>
    <w:rsid w:val="00CE4C0D"/>
    <w:rsid w:val="00CE5E82"/>
    <w:rsid w:val="00D26D15"/>
    <w:rsid w:val="00D313A5"/>
    <w:rsid w:val="00D55011"/>
    <w:rsid w:val="00D729F5"/>
    <w:rsid w:val="00D9116F"/>
    <w:rsid w:val="00DB7FA5"/>
    <w:rsid w:val="00DE0B5B"/>
    <w:rsid w:val="00E24313"/>
    <w:rsid w:val="00E46580"/>
    <w:rsid w:val="00E517B8"/>
    <w:rsid w:val="00E82BD1"/>
    <w:rsid w:val="00E926C4"/>
    <w:rsid w:val="00EA512D"/>
    <w:rsid w:val="00ED5957"/>
    <w:rsid w:val="00ED7136"/>
    <w:rsid w:val="00F1127B"/>
    <w:rsid w:val="00F23D2E"/>
    <w:rsid w:val="00F24D98"/>
    <w:rsid w:val="00F54E4E"/>
    <w:rsid w:val="00F6785B"/>
    <w:rsid w:val="00F9569F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elin.es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ichelin.es" TargetMode="External"/><Relationship Id="rId17" Type="http://schemas.openxmlformats.org/officeDocument/2006/relationships/hyperlink" Target="https://www.instagram.com/michelinespan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kl7q6gpk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ichelinespana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www.linkedin.com/company/michel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.saura-vinssac@michelin.com" TargetMode="Externa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B950AC-9209-264C-8205-4C3E24E6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1139</Words>
  <Characters>6270</Characters>
  <Application>Microsoft Office Word</Application>
  <DocSecurity>0</DocSecurity>
  <Lines>52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arfdamon@gmail.com</cp:lastModifiedBy>
  <cp:revision>5</cp:revision>
  <dcterms:created xsi:type="dcterms:W3CDTF">2024-05-24T07:41:00Z</dcterms:created>
  <dcterms:modified xsi:type="dcterms:W3CDTF">2024-05-26T20:36:00Z</dcterms:modified>
</cp:coreProperties>
</file>