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57C2FB9C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0C622F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0C622F" w:rsidRPr="000C622F">
        <w:rPr>
          <w:rFonts w:ascii="Arial" w:hAnsi="Arial" w:cs="Arial"/>
          <w:sz w:val="20"/>
          <w:szCs w:val="20"/>
          <w:lang w:val="es-ES"/>
        </w:rPr>
        <w:t>28</w:t>
      </w:r>
      <w:r w:rsidR="00BE269E" w:rsidRPr="000C622F">
        <w:rPr>
          <w:rFonts w:ascii="Arial" w:hAnsi="Arial" w:cs="Arial"/>
          <w:sz w:val="20"/>
          <w:szCs w:val="20"/>
          <w:lang w:val="es-ES"/>
        </w:rPr>
        <w:t xml:space="preserve"> de </w:t>
      </w:r>
      <w:r w:rsidR="00B859D2" w:rsidRPr="000C622F">
        <w:rPr>
          <w:rFonts w:ascii="Arial" w:hAnsi="Arial" w:cs="Arial"/>
          <w:sz w:val="20"/>
          <w:szCs w:val="20"/>
          <w:lang w:val="es-ES"/>
        </w:rPr>
        <w:t>mayo</w:t>
      </w:r>
      <w:r w:rsidR="006D398C" w:rsidRPr="000C622F">
        <w:rPr>
          <w:rFonts w:ascii="Arial" w:hAnsi="Arial" w:cs="Arial"/>
          <w:sz w:val="20"/>
          <w:szCs w:val="20"/>
          <w:lang w:val="es-ES"/>
        </w:rPr>
        <w:t>, 202</w:t>
      </w:r>
      <w:r w:rsidR="00B859D2" w:rsidRPr="000C622F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4F39BF6" w14:textId="77777777" w:rsidR="000C622F" w:rsidRDefault="000C622F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Michelin, </w:t>
          </w:r>
          <w:r w:rsidR="00E36E8C" w:rsidRPr="00E36E8C">
            <w:rPr>
              <w:rFonts w:ascii="Arial" w:hAnsi="Arial" w:cs="Arial"/>
              <w:b/>
              <w:sz w:val="28"/>
              <w:szCs w:val="28"/>
              <w:lang w:val="es-ES"/>
            </w:rPr>
            <w:t>el aliado perfecto de Mercedes</w:t>
          </w:r>
          <w:r w:rsidR="00954495">
            <w:rPr>
              <w:rFonts w:ascii="Arial" w:hAnsi="Arial" w:cs="Arial"/>
              <w:b/>
              <w:sz w:val="28"/>
              <w:szCs w:val="28"/>
              <w:lang w:val="es-ES"/>
            </w:rPr>
            <w:t>-AMG</w:t>
          </w:r>
          <w:r w:rsidR="00E36E8C" w:rsidRPr="00E36E8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en</w:t>
          </w:r>
          <w:r w:rsidR="00E36E8C" w:rsidRPr="00E36E8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="00277812">
            <w:rPr>
              <w:rFonts w:ascii="Arial" w:hAnsi="Arial" w:cs="Arial"/>
              <w:b/>
              <w:sz w:val="28"/>
              <w:szCs w:val="28"/>
              <w:lang w:val="es-ES"/>
            </w:rPr>
            <w:t>la</w:t>
          </w:r>
          <w:r w:rsidR="0014543F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s </w:t>
          </w:r>
        </w:p>
        <w:p w14:paraId="6AD3B006" w14:textId="1C4694A8" w:rsidR="006D398C" w:rsidRPr="009A43CE" w:rsidRDefault="0014543F" w:rsidP="000C622F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jornadas</w:t>
          </w:r>
          <w:r w:rsidR="00277812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="00E36E8C" w:rsidRPr="00E36E8C">
            <w:rPr>
              <w:rFonts w:ascii="Arial" w:hAnsi="Arial" w:cs="Arial"/>
              <w:b/>
              <w:sz w:val="28"/>
              <w:szCs w:val="28"/>
              <w:lang w:val="es-ES"/>
            </w:rPr>
            <w:t>AMG</w:t>
          </w:r>
          <w:r w:rsidR="000C622F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="00AB2A6F">
            <w:rPr>
              <w:rFonts w:ascii="Arial" w:hAnsi="Arial" w:cs="Arial"/>
              <w:b/>
              <w:sz w:val="28"/>
              <w:szCs w:val="28"/>
              <w:lang w:val="es-ES"/>
            </w:rPr>
            <w:t>EXPERIENCE ON TRACK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7A7DD46" w14:textId="61F8EB33" w:rsidR="00E36E8C" w:rsidRPr="00E36E8C" w:rsidRDefault="000C622F" w:rsidP="00E36E8C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es-ES" w:eastAsia="en-U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Michelin </w:t>
          </w:r>
          <w:r w:rsidR="00AB2A6F">
            <w:rPr>
              <w:rFonts w:ascii="Arial" w:eastAsia="Calibri" w:hAnsi="Arial" w:cs="Arial"/>
              <w:lang w:val="es-ES" w:eastAsia="en-US"/>
            </w:rPr>
            <w:t xml:space="preserve">es el partner oficial de Mercedes-AMG en sus jornadas </w:t>
          </w:r>
          <w:r>
            <w:rPr>
              <w:rFonts w:ascii="Arial" w:eastAsia="Calibri" w:hAnsi="Arial" w:cs="Arial"/>
              <w:lang w:val="es-ES" w:eastAsia="en-US"/>
            </w:rPr>
            <w:t>AMG EXPERIENCE ON TRACK, que tendrá</w:t>
          </w:r>
          <w:r w:rsidR="00AB2A6F">
            <w:rPr>
              <w:rFonts w:ascii="Arial" w:eastAsia="Calibri" w:hAnsi="Arial" w:cs="Arial"/>
              <w:lang w:val="es-ES" w:eastAsia="en-US"/>
            </w:rPr>
            <w:t>n</w:t>
          </w:r>
          <w:r>
            <w:rPr>
              <w:rFonts w:ascii="Arial" w:eastAsia="Calibri" w:hAnsi="Arial" w:cs="Arial"/>
              <w:lang w:val="es-ES" w:eastAsia="en-US"/>
            </w:rPr>
            <w:t xml:space="preserve"> lugar en el Circuito de Madrid Jarama y en ParcMotor Castellolí</w:t>
          </w:r>
        </w:p>
        <w:p w14:paraId="2BB7EECF" w14:textId="3FD2E12A" w:rsidR="00E36E8C" w:rsidRPr="000C622F" w:rsidRDefault="000C622F" w:rsidP="00E36E8C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es-ES"/>
            </w:rPr>
          </w:pPr>
          <w:r w:rsidRPr="000C622F">
            <w:rPr>
              <w:rFonts w:ascii="Arial" w:eastAsia="Calibri" w:hAnsi="Arial" w:cs="Arial"/>
              <w:lang w:val="es-ES"/>
            </w:rPr>
            <w:t>El neumático MICHELIN Pilot Sport 4S equipará a los vehículos</w:t>
          </w:r>
          <w:r>
            <w:rPr>
              <w:rFonts w:ascii="Arial" w:eastAsia="Calibri" w:hAnsi="Arial" w:cs="Arial"/>
              <w:lang w:val="es-ES"/>
            </w:rPr>
            <w:t xml:space="preserve"> deportivos y berlinas de alta gama de Mercedes-AMG, tanto con motores de combustión como de propulsión eléctrica</w:t>
          </w:r>
        </w:p>
        <w:p w14:paraId="7DA43DC1" w14:textId="1510E34C" w:rsidR="00E36E8C" w:rsidRPr="00E36E8C" w:rsidRDefault="00E36E8C" w:rsidP="00E36E8C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es-ES"/>
            </w:rPr>
          </w:pPr>
          <w:r w:rsidRPr="00E36E8C">
            <w:rPr>
              <w:rFonts w:ascii="Arial" w:eastAsia="Calibri" w:hAnsi="Arial" w:cs="Arial"/>
              <w:lang w:val="es-ES"/>
            </w:rPr>
            <w:t>Su</w:t>
          </w:r>
          <w:r w:rsidR="00AB2A6F">
            <w:rPr>
              <w:rFonts w:ascii="Arial" w:eastAsia="Calibri" w:hAnsi="Arial" w:cs="Arial"/>
              <w:lang w:val="es-ES"/>
            </w:rPr>
            <w:t>s</w:t>
          </w:r>
          <w:r w:rsidRPr="00E36E8C">
            <w:rPr>
              <w:rFonts w:ascii="Arial" w:eastAsia="Calibri" w:hAnsi="Arial" w:cs="Arial"/>
              <w:lang w:val="es-ES"/>
            </w:rPr>
            <w:t xml:space="preserve"> </w:t>
          </w:r>
          <w:r w:rsidR="00AB2A6F">
            <w:rPr>
              <w:rFonts w:ascii="Arial" w:eastAsia="Calibri" w:hAnsi="Arial" w:cs="Arial"/>
              <w:lang w:val="es-ES"/>
            </w:rPr>
            <w:t xml:space="preserve">prestaciones, su alta tecnología </w:t>
          </w:r>
          <w:r w:rsidR="00F331F6">
            <w:rPr>
              <w:rFonts w:ascii="Arial" w:eastAsia="Calibri" w:hAnsi="Arial" w:cs="Arial"/>
              <w:lang w:val="es-ES"/>
            </w:rPr>
            <w:t>y</w:t>
          </w:r>
          <w:r w:rsidR="00AB2A6F">
            <w:rPr>
              <w:rFonts w:ascii="Arial" w:eastAsia="Calibri" w:hAnsi="Arial" w:cs="Arial"/>
              <w:lang w:val="es-ES"/>
            </w:rPr>
            <w:t xml:space="preserve"> su diseño </w:t>
          </w:r>
          <w:r w:rsidRPr="00E36E8C">
            <w:rPr>
              <w:rFonts w:ascii="Arial" w:eastAsia="Calibri" w:hAnsi="Arial" w:cs="Arial"/>
              <w:lang w:val="es-ES"/>
            </w:rPr>
            <w:t xml:space="preserve">hacen que </w:t>
          </w:r>
          <w:r w:rsidR="00AB2A6F">
            <w:rPr>
              <w:rFonts w:ascii="Arial" w:eastAsia="Calibri" w:hAnsi="Arial" w:cs="Arial"/>
              <w:lang w:val="es-ES"/>
            </w:rPr>
            <w:t xml:space="preserve">el MICHELIN Pilot Sport 4S sea el aliado perfecto de Mercedes-AMG para ofrecer a los conductores </w:t>
          </w:r>
          <w:r w:rsidRPr="00E36E8C">
            <w:rPr>
              <w:rFonts w:ascii="Arial" w:eastAsia="Calibri" w:hAnsi="Arial" w:cs="Arial"/>
              <w:lang w:val="es-ES"/>
            </w:rPr>
            <w:t>una experiencia única, tanto en carretera como en el circuito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469CC8" w14:textId="24660649" w:rsidR="002C4693" w:rsidRDefault="002C4693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asociación que desde hace años une a Michelin y Mercedes-AMG se basa en la búsqueda continua de la máxima calidad y perfección, y se cimenta en valores comunes como la pasión por las altas prestaciones, la capacidad innovadora y la vanguardia tecnológica. </w:t>
          </w:r>
          <w:r w:rsidR="00F331F6">
            <w:rPr>
              <w:rFonts w:ascii="Arial" w:hAnsi="Arial" w:cs="Arial"/>
              <w:sz w:val="20"/>
              <w:szCs w:val="20"/>
              <w:lang w:val="es-ES"/>
            </w:rPr>
            <w:t>Ambas marcas avanzan en paralelo en su estrategia de electrificación, evolucionando sus productos para adaptarse a las necesidades de mercado y de los consumidores.</w:t>
          </w:r>
        </w:p>
        <w:p w14:paraId="4F3DA4ED" w14:textId="77777777" w:rsidR="002C4693" w:rsidRDefault="002C4693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A0C8EF" w14:textId="23550AB5" w:rsidR="002C4693" w:rsidRDefault="00F331F6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Michelin se ha ganado una reputación mundial por fabricar neumáticos duraderos y seguros gracias a su experiencia en materiales de alta tecnología y a la utilización de la competición como campo de investigación. Para garantizar que los neumáticos sean resistentes al desgaste, puedan soportar las condiciones más exigentes y cumplan con los más altos estándares de prestaciones hasta el final de su vida útil, Michelin realiza pruebas rigurosas tanto el laboratorio como en condiciones reales, y trabaja en colaboración con los principales fabricantes de vehículos, como Mercedes-AMG.</w:t>
          </w:r>
          <w:r w:rsidR="002624CD">
            <w:rPr>
              <w:rFonts w:ascii="Arial" w:hAnsi="Arial" w:cs="Arial"/>
              <w:sz w:val="20"/>
              <w:szCs w:val="20"/>
              <w:lang w:val="es-ES"/>
            </w:rPr>
            <w:t xml:space="preserve"> Además, todos los neumáticos MICHELIN son compatibles con todas las tecnologías de propulsión, respondiendo a las necesidades de los vehículos con motores de combustión, híbridos o eléctricos en términos de seguridad, duración, eficiencia energética, resistencia a la carga y ruido. </w:t>
          </w:r>
        </w:p>
        <w:p w14:paraId="5C267ABA" w14:textId="77777777" w:rsidR="00F331F6" w:rsidRDefault="00F331F6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E157C43" w14:textId="0FC95A3E" w:rsidR="00F331F6" w:rsidRDefault="00F331F6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Por ello, el fabricante alemán ha elegido a Michelin como </w:t>
          </w:r>
          <w:r w:rsidR="0078297F">
            <w:rPr>
              <w:rFonts w:ascii="Arial" w:hAnsi="Arial" w:cs="Arial"/>
              <w:sz w:val="20"/>
              <w:szCs w:val="20"/>
              <w:lang w:val="es-ES"/>
            </w:rPr>
            <w:t xml:space="preserve">partner oficial de sus jornadas AMG EXPERIENCE ON TRACK, en las que Mercedes-AMG desplegará su gama en el Circuito de Madrid Jarama y en ParcMotor Castellolí para ofrecer a más de 500 participantes toda la emoción de las altas prestaciones de la mano de sus vehículos deportivos y los neumáticos Michelin. </w:t>
          </w:r>
        </w:p>
        <w:p w14:paraId="6FFE4564" w14:textId="77777777" w:rsidR="00F331F6" w:rsidRDefault="00F331F6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4D67ED1" w14:textId="2EA18746" w:rsidR="002624CD" w:rsidRDefault="0078297F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Desde el compacto Mercedes-AMG A 45, a los nuevos modelos electrificados con tecnología híbrida como el Mercedes-AMG C 63 E Performance o el </w:t>
          </w:r>
          <w:r w:rsidR="00A5316F">
            <w:rPr>
              <w:rFonts w:ascii="Arial" w:hAnsi="Arial" w:cs="Arial"/>
              <w:sz w:val="20"/>
              <w:szCs w:val="20"/>
              <w:lang w:val="es-ES"/>
            </w:rPr>
            <w:t>GLC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63 S E Performance, pasando por los modelos 100% eléctricos EQE 43 y EQE 53, todos los vehículos presentes en el AMG EXPERIENCE ON TRACK estarán equipados con los neumáticos MICHELIN Pilot Sport 4S, que, como todos los neumáticos MICHELIN, </w:t>
          </w:r>
          <w:r w:rsidR="002624CD">
            <w:rPr>
              <w:rFonts w:ascii="Arial" w:hAnsi="Arial" w:cs="Arial"/>
              <w:sz w:val="20"/>
              <w:szCs w:val="20"/>
              <w:lang w:val="es-ES"/>
            </w:rPr>
            <w:t>son compatibles con todos los vehículos.</w:t>
          </w:r>
        </w:p>
        <w:p w14:paraId="343A87D5" w14:textId="77777777" w:rsidR="0078297F" w:rsidRDefault="0078297F" w:rsidP="002C469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0F08E1A" w14:textId="05CF60D9" w:rsidR="00401576" w:rsidRDefault="0078297F" w:rsidP="004015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Diseñado para vehículos superdeportivos y berlinas de alta gama, el neumático </w:t>
          </w:r>
          <w:r w:rsidR="00401576">
            <w:rPr>
              <w:rFonts w:ascii="Arial" w:hAnsi="Arial" w:cs="Arial"/>
              <w:sz w:val="20"/>
              <w:szCs w:val="20"/>
              <w:lang w:val="es-ES"/>
            </w:rPr>
            <w:t xml:space="preserve">MICHELIN Pilot Sport 4S es el compañero perfecto para </w:t>
          </w:r>
          <w:r w:rsidR="00117279">
            <w:rPr>
              <w:rFonts w:ascii="Arial" w:hAnsi="Arial" w:cs="Arial"/>
              <w:sz w:val="20"/>
              <w:szCs w:val="20"/>
              <w:lang w:val="es-ES"/>
            </w:rPr>
            <w:t xml:space="preserve">los vehículos </w:t>
          </w:r>
          <w:r w:rsidR="00401576">
            <w:rPr>
              <w:rFonts w:ascii="Arial" w:hAnsi="Arial" w:cs="Arial"/>
              <w:sz w:val="20"/>
              <w:szCs w:val="20"/>
              <w:lang w:val="es-ES"/>
            </w:rPr>
            <w:t xml:space="preserve">Mercedes-AMG, proporcionando las máximas prestaciones y seguridad en todas las superficies y combinando precisión y estabilidad para ofrecer a los conductores una experiencia emocionante y dinámica. Para agarrarse al asfalto en cualquier situación, incluso en la condiciones más extremas, MICHELIN Pilot Sport 4S cuenta con tecnologías </w:t>
          </w:r>
          <w:r w:rsidR="00401576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como </w:t>
          </w:r>
          <w:r w:rsidR="00401576" w:rsidRPr="00E36E8C">
            <w:rPr>
              <w:rFonts w:ascii="Arial" w:hAnsi="Arial" w:cs="Arial"/>
              <w:sz w:val="20"/>
              <w:szCs w:val="20"/>
              <w:lang w:val="es-ES"/>
            </w:rPr>
            <w:t>Dynamic Response, que transmite de forma instantánea y precisa cada movimiento del volante mediante un cinturón híbrido de aramida y nylon</w:t>
          </w:r>
          <w:r w:rsidR="00401576">
            <w:rPr>
              <w:rFonts w:ascii="Arial" w:hAnsi="Arial" w:cs="Arial"/>
              <w:sz w:val="20"/>
              <w:szCs w:val="20"/>
              <w:lang w:val="es-ES"/>
            </w:rPr>
            <w:t xml:space="preserve">; o la tecnología Bi-Compound, que combina dos tipos de compuesto para favorecer la adherencia en suelo seco y ofrecer al mismo tiempo una excelente tracción y distancias de frenado más cortas sobre mojado, </w:t>
          </w:r>
          <w:r w:rsidR="00401576" w:rsidRPr="00E36E8C">
            <w:rPr>
              <w:rFonts w:ascii="Arial" w:hAnsi="Arial" w:cs="Arial"/>
              <w:sz w:val="20"/>
              <w:szCs w:val="20"/>
              <w:lang w:val="es-ES"/>
            </w:rPr>
            <w:t xml:space="preserve">brindando mayor confianza </w:t>
          </w:r>
          <w:r w:rsidR="00401576">
            <w:rPr>
              <w:rFonts w:ascii="Arial" w:hAnsi="Arial" w:cs="Arial"/>
              <w:sz w:val="20"/>
              <w:szCs w:val="20"/>
              <w:lang w:val="es-ES"/>
            </w:rPr>
            <w:t xml:space="preserve">y seguridad </w:t>
          </w:r>
          <w:r w:rsidR="00401576" w:rsidRPr="00E36E8C">
            <w:rPr>
              <w:rFonts w:ascii="Arial" w:hAnsi="Arial" w:cs="Arial"/>
              <w:sz w:val="20"/>
              <w:szCs w:val="20"/>
              <w:lang w:val="es-ES"/>
            </w:rPr>
            <w:t>al conducto</w:t>
          </w:r>
          <w:r w:rsidR="00401576">
            <w:rPr>
              <w:rFonts w:ascii="Arial" w:hAnsi="Arial" w:cs="Arial"/>
              <w:sz w:val="20"/>
              <w:szCs w:val="20"/>
              <w:lang w:val="es-ES"/>
            </w:rPr>
            <w:t xml:space="preserve">. Además, </w:t>
          </w:r>
          <w:r w:rsidR="00401576" w:rsidRPr="00E36E8C">
            <w:rPr>
              <w:rFonts w:ascii="Arial" w:hAnsi="Arial" w:cs="Arial"/>
              <w:sz w:val="20"/>
              <w:szCs w:val="20"/>
              <w:lang w:val="es-ES"/>
            </w:rPr>
            <w:t xml:space="preserve">el acabado aterciopelado en el flanco del neumático </w:t>
          </w:r>
          <w:r w:rsidR="00401576">
            <w:rPr>
              <w:rFonts w:ascii="Arial" w:hAnsi="Arial" w:cs="Arial"/>
              <w:sz w:val="20"/>
              <w:szCs w:val="20"/>
              <w:lang w:val="es-ES"/>
            </w:rPr>
            <w:t>que proporciona la tecnología MICHELIN Premium Touch, contribuye a realzar el diseño del vehículo.</w:t>
          </w:r>
        </w:p>
        <w:p w14:paraId="0CD886D9" w14:textId="478D7157" w:rsidR="00E36E8C" w:rsidRDefault="00401576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17007FC4" w14:textId="2E545D9B" w:rsidR="00E36E8C" w:rsidRDefault="00E36E8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36E8C">
            <w:rPr>
              <w:rFonts w:ascii="Arial" w:hAnsi="Arial" w:cs="Arial"/>
              <w:sz w:val="20"/>
              <w:szCs w:val="20"/>
              <w:lang w:val="es-ES"/>
            </w:rPr>
            <w:t xml:space="preserve">Todas estas prestaciones, convierten </w:t>
          </w:r>
          <w:r w:rsidR="002624CD">
            <w:rPr>
              <w:rFonts w:ascii="Arial" w:hAnsi="Arial" w:cs="Arial"/>
              <w:sz w:val="20"/>
              <w:szCs w:val="20"/>
              <w:lang w:val="es-ES"/>
            </w:rPr>
            <w:t xml:space="preserve">a los neumáticos </w:t>
          </w:r>
          <w:r w:rsidRPr="00E36E8C">
            <w:rPr>
              <w:rFonts w:ascii="Arial" w:hAnsi="Arial" w:cs="Arial"/>
              <w:sz w:val="20"/>
              <w:szCs w:val="20"/>
              <w:lang w:val="es-ES"/>
            </w:rPr>
            <w:t xml:space="preserve">MICHELIN Pilot Sport 4S en el </w:t>
          </w:r>
          <w:r w:rsidR="00117279">
            <w:rPr>
              <w:rFonts w:ascii="Arial" w:hAnsi="Arial" w:cs="Arial"/>
              <w:sz w:val="20"/>
              <w:szCs w:val="20"/>
              <w:lang w:val="es-ES"/>
            </w:rPr>
            <w:t>mejor aliado</w:t>
          </w:r>
          <w:r w:rsidRPr="00E36E8C">
            <w:rPr>
              <w:rFonts w:ascii="Arial" w:hAnsi="Arial" w:cs="Arial"/>
              <w:sz w:val="20"/>
              <w:szCs w:val="20"/>
              <w:lang w:val="es-ES"/>
            </w:rPr>
            <w:t xml:space="preserve"> para los </w:t>
          </w:r>
          <w:r w:rsidR="00DD61E1">
            <w:rPr>
              <w:rFonts w:ascii="Arial" w:hAnsi="Arial" w:cs="Arial"/>
              <w:sz w:val="20"/>
              <w:szCs w:val="20"/>
              <w:lang w:val="es-ES"/>
            </w:rPr>
            <w:t xml:space="preserve">modelos más prestacionales de </w:t>
          </w:r>
          <w:r w:rsidR="008C0256">
            <w:rPr>
              <w:rFonts w:ascii="Arial" w:hAnsi="Arial" w:cs="Arial"/>
              <w:sz w:val="20"/>
              <w:szCs w:val="20"/>
              <w:lang w:val="es-ES"/>
            </w:rPr>
            <w:t>Mercedes-AMG</w:t>
          </w:r>
          <w:r w:rsidR="00DD61E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E36E8C">
            <w:rPr>
              <w:rFonts w:ascii="Arial" w:hAnsi="Arial" w:cs="Arial"/>
              <w:sz w:val="20"/>
              <w:szCs w:val="20"/>
              <w:lang w:val="es-ES"/>
            </w:rPr>
            <w:t>y para los conductores que deseen sentir la adrenalina al volante en carretera y en circuito.</w:t>
          </w:r>
        </w:p>
        <w:p w14:paraId="7597BCA0" w14:textId="592C449A" w:rsidR="00467C7F" w:rsidRDefault="00467C7F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50B92A" w14:textId="5947F63E" w:rsidR="00467C7F" w:rsidRDefault="00467C7F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67C7F">
            <w:rPr>
              <w:rFonts w:ascii="Arial" w:hAnsi="Arial" w:cs="Arial"/>
              <w:sz w:val="20"/>
              <w:szCs w:val="20"/>
              <w:lang w:val="es-ES"/>
            </w:rPr>
            <w:t xml:space="preserve">En las jornadas AMG EXPERIENCE ON TRACK, Mercedes-AMG también exhibirá dos primicias en el mercado español: el nuevo Mercedes-AMG GT 63 Coupé y el </w:t>
          </w:r>
          <w:proofErr w:type="spellStart"/>
          <w:r w:rsidRPr="00467C7F">
            <w:rPr>
              <w:rFonts w:ascii="Arial" w:hAnsi="Arial" w:cs="Arial"/>
              <w:sz w:val="20"/>
              <w:szCs w:val="20"/>
              <w:lang w:val="es-ES"/>
            </w:rPr>
            <w:t>hypercar</w:t>
          </w:r>
          <w:proofErr w:type="spellEnd"/>
          <w:r w:rsidRPr="00467C7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hyperlink r:id="rId8" w:history="1">
            <w:r w:rsidRPr="00A45FF0"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>Mercedes-AMG ONE</w:t>
            </w:r>
          </w:hyperlink>
          <w:r w:rsidRPr="00467C7F">
            <w:rPr>
              <w:rFonts w:ascii="Arial" w:hAnsi="Arial" w:cs="Arial"/>
              <w:sz w:val="20"/>
              <w:szCs w:val="20"/>
              <w:lang w:val="es-ES"/>
            </w:rPr>
            <w:t xml:space="preserve">, del que únicamente se fabricará una serie limitada de 275 unidades, todas equipadas con neumáticos MICHELIN </w:t>
          </w:r>
          <w:proofErr w:type="spellStart"/>
          <w:r w:rsidRPr="00467C7F">
            <w:rPr>
              <w:rFonts w:ascii="Arial" w:hAnsi="Arial" w:cs="Arial"/>
              <w:sz w:val="20"/>
              <w:szCs w:val="20"/>
              <w:lang w:val="es-ES"/>
            </w:rPr>
            <w:t>Pilot</w:t>
          </w:r>
          <w:proofErr w:type="spellEnd"/>
          <w:r w:rsidRPr="00467C7F">
            <w:rPr>
              <w:rFonts w:ascii="Arial" w:hAnsi="Arial" w:cs="Arial"/>
              <w:sz w:val="20"/>
              <w:szCs w:val="20"/>
              <w:lang w:val="es-ES"/>
            </w:rPr>
            <w:t xml:space="preserve"> Sport Cup 2 R – M01 con un diseño del flanco desarrollado específicamente entre el fabricante y Michelin para conseguir las máximas prestaciones del superdeportivo de la marca de la estrella.</w:t>
          </w:r>
        </w:p>
        <w:p w14:paraId="5A56503B" w14:textId="5767510A" w:rsidR="00C5710E" w:rsidRDefault="00C5710E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9CD802" w14:textId="77777777" w:rsidR="002624CD" w:rsidRDefault="002624C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19A8607" w14:textId="77777777" w:rsidR="00C5710E" w:rsidRDefault="00C5710E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3C50C4CB" w:rsidR="003C3FC0" w:rsidRPr="00E36E8C" w:rsidRDefault="00EF611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Pr="006352FD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00A79C9F" w14:textId="49B4B3C2" w:rsidR="00F33F3C" w:rsidRPr="006352FD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434BB" w:rsidRPr="006352FD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6352FD" w:rsidRDefault="00EF6113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10" w:history="1">
        <w:r w:rsidR="00E434BB" w:rsidRPr="006352FD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176577A1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1BFEC" wp14:editId="008C3E58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6352FD" w14:paraId="60F361F4" w14:textId="77777777" w:rsidTr="00B43E93">
        <w:tc>
          <w:tcPr>
            <w:tcW w:w="9016" w:type="dxa"/>
          </w:tcPr>
          <w:p w14:paraId="3A8B5EA0" w14:textId="542336A2" w:rsidR="00F33F3C" w:rsidRPr="006352FD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6352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3" w:history="1">
              <w:r w:rsidRPr="006352F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022CA1C3" w:rsidR="00953035" w:rsidRPr="006352FD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6352FD" w14:paraId="7F0165A9" w14:textId="77777777" w:rsidTr="00B43E93">
        <w:tc>
          <w:tcPr>
            <w:tcW w:w="9016" w:type="dxa"/>
          </w:tcPr>
          <w:p w14:paraId="7401AAC6" w14:textId="2942B13B" w:rsidR="00F33F3C" w:rsidRPr="0052535E" w:rsidRDefault="0052535E" w:rsidP="0052535E">
            <w:pPr>
              <w:ind w:left="360"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45FF0">
              <w:rPr>
                <w:rFonts w:ascii="Arial" w:hAnsi="Arial" w:cs="Arial"/>
                <w:noProof/>
                <w:lang w:val="es-ES"/>
              </w:rPr>
              <w:pict w14:anchorId="31AA4606">
                <v:shape id="Imagen 2" o:spid="_x0000_i1026" type="#_x0000_t75" alt="" style="width:10.8pt;height:10.2pt;visibility:visible;mso-wrap-style:square;mso-width-percent:0;mso-height-percent:0;mso-width-percent:0;mso-height-percent:0" o:bullet="t">
                  <v:imagedata r:id="rId14" o:title=""/>
                </v:shape>
              </w:pict>
            </w:r>
            <w:r w:rsidRPr="0052535E">
              <w:rPr>
                <w:sz w:val="20"/>
                <w:szCs w:val="20"/>
              </w:rPr>
              <w:t xml:space="preserve"> </w:t>
            </w:r>
            <w:hyperlink r:id="rId15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0259976F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449221BE" w14:textId="69B25189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35253F14" w14:textId="787F7104" w:rsidR="00F33F3C" w:rsidRPr="006352FD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es-ES"/>
        </w:rPr>
      </w:pPr>
    </w:p>
    <w:p w14:paraId="344CC829" w14:textId="7104AEE7" w:rsidR="00F33F3C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1F3ED7B" w14:textId="66D95A69" w:rsidR="0052535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52535E" w:rsidSect="006C381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5D4E" w14:textId="77777777" w:rsidR="00EF6113" w:rsidRDefault="00EF6113" w:rsidP="00F24D98">
      <w:r>
        <w:separator/>
      </w:r>
    </w:p>
  </w:endnote>
  <w:endnote w:type="continuationSeparator" w:id="0">
    <w:p w14:paraId="0FD63358" w14:textId="77777777" w:rsidR="00EF6113" w:rsidRDefault="00EF611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modern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9E46" w14:textId="77777777" w:rsidR="00EF6113" w:rsidRDefault="00EF6113" w:rsidP="00F24D98">
      <w:r>
        <w:separator/>
      </w:r>
    </w:p>
  </w:footnote>
  <w:footnote w:type="continuationSeparator" w:id="0">
    <w:p w14:paraId="24038E6F" w14:textId="77777777" w:rsidR="00EF6113" w:rsidRDefault="00EF611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2565FBDD" w:rsidR="001963B1" w:rsidRDefault="002C4693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7CDA71EA">
              <wp:simplePos x="0" y="0"/>
              <wp:positionH relativeFrom="page">
                <wp:posOffset>2398395</wp:posOffset>
              </wp:positionH>
              <wp:positionV relativeFrom="paragraph">
                <wp:posOffset>762381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E36E8C" w:rsidRDefault="00BE269E" w:rsidP="000B3F91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</w:pPr>
                          <w:r w:rsidRPr="00E36E8C"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60.0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Mxfb2H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E36E8C" w:rsidRDefault="00BE269E" w:rsidP="000B3F91">
                    <w:pPr>
                      <w:jc w:val="center"/>
                      <w:rPr>
                        <w:rFonts w:ascii="Michelin" w:hAnsi="Michelin"/>
                        <w:color w:val="575757"/>
                        <w:lang w:val="es-ES"/>
                      </w:rPr>
                    </w:pPr>
                    <w:r w:rsidRPr="00E36E8C">
                      <w:rPr>
                        <w:rFonts w:ascii="Michelin" w:hAnsi="Michelin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49BDE884">
          <wp:simplePos x="0" y="0"/>
          <wp:positionH relativeFrom="column">
            <wp:posOffset>1439721</wp:posOffset>
          </wp:positionH>
          <wp:positionV relativeFrom="paragraph">
            <wp:posOffset>207518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E36E8C" w:rsidRDefault="00A0766D" w:rsidP="003F197B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E36E8C">
                            <w:rPr>
                              <w:rFonts w:ascii="Michelin" w:hAnsi="Michelin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E36E8C" w:rsidRDefault="00A0766D" w:rsidP="003F197B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E36E8C">
                      <w:rPr>
                        <w:rFonts w:ascii="Michelin" w:hAnsi="Michelin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83.6pt;height:188.4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50757"/>
    <w:rsid w:val="000924E3"/>
    <w:rsid w:val="000A5386"/>
    <w:rsid w:val="000B3F91"/>
    <w:rsid w:val="000C622F"/>
    <w:rsid w:val="00112957"/>
    <w:rsid w:val="001162A2"/>
    <w:rsid w:val="00116A1A"/>
    <w:rsid w:val="00117279"/>
    <w:rsid w:val="0014543F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4CD"/>
    <w:rsid w:val="00262F8B"/>
    <w:rsid w:val="00267994"/>
    <w:rsid w:val="00274DC8"/>
    <w:rsid w:val="00277812"/>
    <w:rsid w:val="002A37BE"/>
    <w:rsid w:val="002C255B"/>
    <w:rsid w:val="002C4693"/>
    <w:rsid w:val="00387E23"/>
    <w:rsid w:val="003930CA"/>
    <w:rsid w:val="00395651"/>
    <w:rsid w:val="003C3FC0"/>
    <w:rsid w:val="003C419D"/>
    <w:rsid w:val="003F197B"/>
    <w:rsid w:val="00401576"/>
    <w:rsid w:val="00414F37"/>
    <w:rsid w:val="00422E33"/>
    <w:rsid w:val="00422FAA"/>
    <w:rsid w:val="004237CD"/>
    <w:rsid w:val="0044379B"/>
    <w:rsid w:val="0045418F"/>
    <w:rsid w:val="00462EE8"/>
    <w:rsid w:val="00467C7F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0CD9"/>
    <w:rsid w:val="004F5DE7"/>
    <w:rsid w:val="00511304"/>
    <w:rsid w:val="0052344F"/>
    <w:rsid w:val="00523D3C"/>
    <w:rsid w:val="0052535E"/>
    <w:rsid w:val="00572127"/>
    <w:rsid w:val="00594F5C"/>
    <w:rsid w:val="005B00AE"/>
    <w:rsid w:val="005E08B3"/>
    <w:rsid w:val="005E1047"/>
    <w:rsid w:val="00610145"/>
    <w:rsid w:val="00613A00"/>
    <w:rsid w:val="00621821"/>
    <w:rsid w:val="006352FD"/>
    <w:rsid w:val="00664307"/>
    <w:rsid w:val="00686748"/>
    <w:rsid w:val="006920B7"/>
    <w:rsid w:val="006C3818"/>
    <w:rsid w:val="006C44F0"/>
    <w:rsid w:val="006D398C"/>
    <w:rsid w:val="00767B4C"/>
    <w:rsid w:val="00767B99"/>
    <w:rsid w:val="0078297F"/>
    <w:rsid w:val="00786FD0"/>
    <w:rsid w:val="007B0548"/>
    <w:rsid w:val="007F37A6"/>
    <w:rsid w:val="00816BB1"/>
    <w:rsid w:val="00834943"/>
    <w:rsid w:val="0083779A"/>
    <w:rsid w:val="0085450A"/>
    <w:rsid w:val="008B072F"/>
    <w:rsid w:val="008C0256"/>
    <w:rsid w:val="008D329C"/>
    <w:rsid w:val="008D7C50"/>
    <w:rsid w:val="008F5893"/>
    <w:rsid w:val="009253EE"/>
    <w:rsid w:val="0093532F"/>
    <w:rsid w:val="00953035"/>
    <w:rsid w:val="00954495"/>
    <w:rsid w:val="00977E95"/>
    <w:rsid w:val="009969D4"/>
    <w:rsid w:val="009A43CE"/>
    <w:rsid w:val="00A05352"/>
    <w:rsid w:val="00A0766D"/>
    <w:rsid w:val="00A133C9"/>
    <w:rsid w:val="00A3324C"/>
    <w:rsid w:val="00A45FF0"/>
    <w:rsid w:val="00A5316F"/>
    <w:rsid w:val="00A72ECA"/>
    <w:rsid w:val="00A75B5C"/>
    <w:rsid w:val="00A915D0"/>
    <w:rsid w:val="00A93CD1"/>
    <w:rsid w:val="00AA05BE"/>
    <w:rsid w:val="00AB2A6F"/>
    <w:rsid w:val="00AB33AB"/>
    <w:rsid w:val="00AB4101"/>
    <w:rsid w:val="00AC0E74"/>
    <w:rsid w:val="00AC3578"/>
    <w:rsid w:val="00B05B19"/>
    <w:rsid w:val="00B13DD6"/>
    <w:rsid w:val="00B151A1"/>
    <w:rsid w:val="00B32BCE"/>
    <w:rsid w:val="00B36FEE"/>
    <w:rsid w:val="00B45C21"/>
    <w:rsid w:val="00B6670B"/>
    <w:rsid w:val="00B859D2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5710E"/>
    <w:rsid w:val="00CA4996"/>
    <w:rsid w:val="00CC6BAF"/>
    <w:rsid w:val="00CE5E82"/>
    <w:rsid w:val="00D01366"/>
    <w:rsid w:val="00D26D15"/>
    <w:rsid w:val="00D470CF"/>
    <w:rsid w:val="00D55011"/>
    <w:rsid w:val="00D729F5"/>
    <w:rsid w:val="00DB7FA5"/>
    <w:rsid w:val="00DD61E1"/>
    <w:rsid w:val="00E36E8C"/>
    <w:rsid w:val="00E434BB"/>
    <w:rsid w:val="00E46580"/>
    <w:rsid w:val="00E57483"/>
    <w:rsid w:val="00E926C4"/>
    <w:rsid w:val="00EA512D"/>
    <w:rsid w:val="00ED5957"/>
    <w:rsid w:val="00ED7136"/>
    <w:rsid w:val="00EE30AF"/>
    <w:rsid w:val="00EF172C"/>
    <w:rsid w:val="00EF6113"/>
    <w:rsid w:val="00F05D3E"/>
    <w:rsid w:val="00F1127B"/>
    <w:rsid w:val="00F24D98"/>
    <w:rsid w:val="00F331F6"/>
    <w:rsid w:val="00F33F3C"/>
    <w:rsid w:val="00F378B6"/>
    <w:rsid w:val="00F6785B"/>
    <w:rsid w:val="00F9569F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cioprensa.michelin.es/notas/el-mercedes-amg-one-equipado-con-neumaticos-michelin-nuevo-rey-en-el-mitico-nurburgring-nordschleife/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omunicaci&#243;n-ib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A6F89-4DC9-5C4B-9E9C-02F2AB4B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945</Words>
  <Characters>5202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Avilés de Rus</cp:lastModifiedBy>
  <cp:revision>18</cp:revision>
  <dcterms:created xsi:type="dcterms:W3CDTF">2024-05-20T12:03:00Z</dcterms:created>
  <dcterms:modified xsi:type="dcterms:W3CDTF">2024-05-27T14:03:00Z</dcterms:modified>
</cp:coreProperties>
</file>